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.svg" ContentType="image/svg+xml"/>
  <Override PartName="/word/media/image2.svg" ContentType="image/svg+xml"/>
  <Override PartName="/word/media/image3.svg" ContentType="image/svg+xml"/>
  <Override PartName="/word/media/image4.svg" ContentType="image/svg+xml"/>
  <Override PartName="/word/media/image5.svg" ContentType="image/svg+xml"/>
  <Override PartName="/word/media/image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13"/>
        <w:gridCol w:w="6792"/>
        <w:gridCol w:w="169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13" w:type="dxa"/>
            <w:shd w:val="clear" w:color="auto" w:fill="0071BC"/>
            <w:vAlign w:val="center"/>
          </w:tcPr>
          <w:p>
            <w:pPr>
              <w:jc w:val="center"/>
              <w:rPr>
                <w:color w:val="0071BC"/>
              </w:rPr>
            </w:pPr>
            <w:r>
              <w:rPr>
                <w:color w:val="0071BC"/>
              </w:rPr>
              <w:drawing>
                <wp:inline distT="0" distB="0" distL="0" distR="0">
                  <wp:extent cx="359410" cy="479425"/>
                  <wp:effectExtent l="0" t="0" r="2540" b="0"/>
                  <wp:docPr id="12" name="图形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形 1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2" w:type="dxa"/>
            <w:shd w:val="clear" w:color="auto" w:fill="0071BC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:sz w:val="44"/>
                <w:szCs w:val="4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44"/>
                <w:szCs w:val="44"/>
                <w14:textFill>
                  <w14:solidFill>
                    <w14:schemeClr w14:val="bg1"/>
                  </w14:solidFill>
                </w14:textFill>
              </w:rPr>
              <w:t>剑桥牛津在线学术课程</w:t>
            </w:r>
          </w:p>
        </w:tc>
        <w:tc>
          <w:tcPr>
            <w:tcW w:w="1699" w:type="dxa"/>
            <w:shd w:val="clear" w:color="auto" w:fill="0071BC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:sz w:val="44"/>
                <w:szCs w:val="4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A7D1F5"/>
                <w:sz w:val="28"/>
                <w:szCs w:val="32"/>
              </w:rPr>
              <w:t>2020</w:t>
            </w:r>
            <w:r>
              <w:rPr>
                <w:b/>
                <w:bCs/>
                <w:color w:val="FFFFFF" w:themeColor="background1"/>
                <w:sz w:val="44"/>
                <w:szCs w:val="48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04" w:type="dxa"/>
            <w:gridSpan w:val="3"/>
            <w:tcMar>
              <w:top w:w="85" w:type="dxa"/>
            </w:tcMar>
          </w:tcPr>
          <w:p>
            <w:r>
              <w:drawing>
                <wp:inline distT="0" distB="0" distL="0" distR="0">
                  <wp:extent cx="6479540" cy="276161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276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jc w:val="left"/>
      </w:pPr>
    </w:p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682"/>
        <w:gridCol w:w="1656"/>
        <w:gridCol w:w="79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15" w:hRule="atLeast"/>
        </w:trPr>
        <w:tc>
          <w:tcPr>
            <w:tcW w:w="674" w:type="dxa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drawing>
                <wp:inline distT="0" distB="0" distL="0" distR="0">
                  <wp:extent cx="278765" cy="287655"/>
                  <wp:effectExtent l="0" t="0" r="6985" b="0"/>
                  <wp:docPr id="14" name="图形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形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bookmarkStart w:id="0" w:name="项目背景"/>
            <w:r>
              <w:rPr>
                <w:rFonts w:hint="eastAsia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项目背景</w:t>
            </w:r>
            <w:bookmarkEnd w:id="0"/>
          </w:p>
        </w:tc>
        <w:tc>
          <w:tcPr>
            <w:tcW w:w="7892" w:type="dxa"/>
            <w:tcBorders>
              <w:bottom w:val="single" w:color="0071BC" w:sz="12" w:space="0"/>
            </w:tcBorders>
            <w:tcMar>
              <w:top w:w="0" w:type="dxa"/>
              <w:bottom w:w="0" w:type="dxa"/>
            </w:tcMar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180" w:lineRule="exact"/>
              <w:rPr>
                <w:rFonts w:cs="Arial" w:asciiTheme="minorEastAsia" w:hAnsiTheme="minorEastAsia"/>
                <w:sz w:val="23"/>
                <w:szCs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  <w:shd w:val="clear" w:color="auto" w:fill="CBE4F9"/>
          </w:tcPr>
          <w:p>
            <w:pPr>
              <w:spacing w:line="312" w:lineRule="auto"/>
              <w:rPr>
                <w:rFonts w:cs="Arial" w:asciiTheme="minorEastAsia" w:hAnsiTheme="minorEastAsia"/>
                <w:sz w:val="23"/>
                <w:szCs w:val="23"/>
              </w:rPr>
            </w:pPr>
            <w:r>
              <w:rPr>
                <w:rFonts w:hint="eastAsia" w:asciiTheme="minorEastAsia" w:hAnsiTheme="minorEastAsia"/>
                <w:sz w:val="23"/>
                <w:szCs w:val="23"/>
              </w:rPr>
              <w:t>为了让中国大学生有机会体验世界一流名校的学习氛围，此</w:t>
            </w:r>
            <w:bookmarkStart w:id="8" w:name="_GoBack"/>
            <w:bookmarkEnd w:id="8"/>
            <w:r>
              <w:rPr>
                <w:rFonts w:hint="eastAsia" w:asciiTheme="minorEastAsia" w:hAnsiTheme="minorEastAsia"/>
                <w:sz w:val="23"/>
                <w:szCs w:val="23"/>
              </w:rPr>
              <w:t>项目将为学员提供剑桥和牛津的在线学习机会，课程由剑桥和牛津各领域专业教师授课，</w:t>
            </w:r>
            <w:r>
              <w:rPr>
                <w:rFonts w:hint="eastAsia" w:ascii="Arial" w:hAnsi="Arial" w:cs="Arial"/>
                <w:sz w:val="23"/>
                <w:szCs w:val="23"/>
              </w:rPr>
              <w:t>项目涵盖专业课程、小组讨论、结业汇报等内容，最大程度的让学员在短时间体验剑桥与牛津的学术特色、提升自身知识储备。</w:t>
            </w:r>
            <w:r>
              <w:rPr>
                <w:rFonts w:hint="eastAsia" w:asciiTheme="minorEastAsia" w:hAnsiTheme="minorEastAsia"/>
                <w:sz w:val="23"/>
                <w:szCs w:val="23"/>
              </w:rPr>
              <w:t>课程结束后颁发结业证书、成绩单和推荐信。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674" w:type="dxa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287655" cy="287655"/>
                  <wp:effectExtent l="0" t="0" r="0" b="0"/>
                  <wp:docPr id="50" name="图形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形 5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szCs w:val="21"/>
              </w:rPr>
            </w:pPr>
            <w:bookmarkStart w:id="1" w:name="项目主题"/>
            <w:r>
              <w:rPr>
                <w:rFonts w:hint="eastAsia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项目主题</w:t>
            </w:r>
            <w:bookmarkEnd w:id="1"/>
          </w:p>
        </w:tc>
        <w:tc>
          <w:tcPr>
            <w:tcW w:w="7892" w:type="dxa"/>
            <w:tcBorders>
              <w:bottom w:val="single" w:color="0071BC" w:sz="12" w:space="0"/>
            </w:tcBorders>
            <w:tcMar>
              <w:top w:w="0" w:type="dxa"/>
              <w:bottom w:w="0" w:type="dxa"/>
            </w:tcMar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  <w:tcBorders>
              <w:top w:val="single" w:color="0071BC" w:sz="12" w:space="0"/>
            </w:tcBorders>
          </w:tcPr>
          <w:p>
            <w:pPr>
              <w:spacing w:line="160" w:lineRule="exact"/>
              <w:rPr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1202" w:hRule="atLeast"/>
        </w:trPr>
        <w:tc>
          <w:tcPr>
            <w:tcW w:w="10204" w:type="dxa"/>
            <w:gridSpan w:val="3"/>
          </w:tcPr>
          <w:tbl>
            <w:tblPr>
              <w:tblStyle w:val="5"/>
              <w:tblW w:w="5000" w:type="pct"/>
              <w:tblInd w:w="0" w:type="dxa"/>
              <w:tblLayout w:type="autofit"/>
              <w:tblCellMar>
                <w:top w:w="28" w:type="dxa"/>
                <w:left w:w="28" w:type="dxa"/>
                <w:bottom w:w="28" w:type="dxa"/>
                <w:right w:w="28" w:type="dxa"/>
              </w:tblCellMar>
            </w:tblPr>
            <w:tblGrid>
              <w:gridCol w:w="1522"/>
              <w:gridCol w:w="2867"/>
              <w:gridCol w:w="2006"/>
              <w:gridCol w:w="1147"/>
              <w:gridCol w:w="1286"/>
              <w:gridCol w:w="431"/>
              <w:gridCol w:w="945"/>
            </w:tblGrid>
            <w:tr>
              <w:tblPrEx>
                <w:tblCellMar>
                  <w:top w:w="28" w:type="dxa"/>
                  <w:left w:w="28" w:type="dxa"/>
                  <w:bottom w:w="28" w:type="dxa"/>
                  <w:right w:w="28" w:type="dxa"/>
                </w:tblCellMar>
              </w:tblPrEx>
              <w:trPr>
                <w:trHeight w:val="22" w:hRule="atLeast"/>
              </w:trPr>
              <w:tc>
                <w:tcPr>
                  <w:tcW w:w="746" w:type="pct"/>
                  <w:shd w:val="clear" w:color="auto" w:fill="auto"/>
                </w:tcPr>
                <w:p>
                  <w:pPr>
                    <w:spacing w:line="312" w:lineRule="auto"/>
                    <w:jc w:val="left"/>
                    <w:rPr>
                      <w:rFonts w:ascii="Arial" w:hAnsi="Arial" w:cs="Arial"/>
                      <w:b/>
                      <w:bCs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b/>
                      <w:bCs/>
                      <w:sz w:val="23"/>
                      <w:szCs w:val="23"/>
                    </w:rPr>
                    <w:t>编号</w:t>
                  </w:r>
                </w:p>
              </w:tc>
              <w:tc>
                <w:tcPr>
                  <w:tcW w:w="1405" w:type="pct"/>
                  <w:shd w:val="clear" w:color="auto" w:fill="auto"/>
                </w:tcPr>
                <w:p>
                  <w:pPr>
                    <w:spacing w:line="312" w:lineRule="auto"/>
                    <w:jc w:val="left"/>
                    <w:rPr>
                      <w:rFonts w:ascii="Arial" w:hAnsi="Arial" w:cs="Arial"/>
                      <w:b/>
                      <w:bCs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b/>
                      <w:bCs/>
                      <w:sz w:val="23"/>
                      <w:szCs w:val="23"/>
                    </w:rPr>
                    <w:t>主题</w:t>
                  </w:r>
                </w:p>
              </w:tc>
              <w:tc>
                <w:tcPr>
                  <w:tcW w:w="983" w:type="pct"/>
                  <w:shd w:val="clear" w:color="auto" w:fill="auto"/>
                </w:tcPr>
                <w:p>
                  <w:pPr>
                    <w:spacing w:line="312" w:lineRule="auto"/>
                    <w:jc w:val="left"/>
                    <w:rPr>
                      <w:rFonts w:ascii="Arial" w:hAnsi="Arial" w:cs="Arial"/>
                      <w:b/>
                      <w:bCs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b/>
                      <w:bCs/>
                      <w:sz w:val="23"/>
                      <w:szCs w:val="23"/>
                    </w:rPr>
                    <w:t>日期</w:t>
                  </w:r>
                </w:p>
              </w:tc>
              <w:tc>
                <w:tcPr>
                  <w:tcW w:w="562" w:type="pct"/>
                  <w:shd w:val="clear" w:color="auto" w:fill="auto"/>
                </w:tcPr>
                <w:p>
                  <w:pPr>
                    <w:spacing w:line="312" w:lineRule="auto"/>
                    <w:jc w:val="left"/>
                    <w:rPr>
                      <w:rFonts w:ascii="Arial" w:hAnsi="Arial" w:cs="Arial"/>
                      <w:b/>
                      <w:bCs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b/>
                      <w:bCs/>
                      <w:sz w:val="23"/>
                      <w:szCs w:val="23"/>
                    </w:rPr>
                    <w:t>时长</w:t>
                  </w:r>
                </w:p>
              </w:tc>
              <w:tc>
                <w:tcPr>
                  <w:tcW w:w="630" w:type="pct"/>
                  <w:shd w:val="clear" w:color="auto" w:fill="auto"/>
                </w:tcPr>
                <w:p>
                  <w:pPr>
                    <w:spacing w:line="312" w:lineRule="auto"/>
                    <w:jc w:val="left"/>
                    <w:rPr>
                      <w:rFonts w:ascii="Arial" w:hAnsi="Arial" w:cs="Arial"/>
                      <w:b/>
                      <w:bCs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b/>
                      <w:bCs/>
                      <w:sz w:val="23"/>
                      <w:szCs w:val="23"/>
                    </w:rPr>
                    <w:t>项目费用</w:t>
                  </w:r>
                </w:p>
              </w:tc>
              <w:tc>
                <w:tcPr>
                  <w:tcW w:w="674" w:type="pct"/>
                  <w:gridSpan w:val="2"/>
                </w:tcPr>
                <w:p>
                  <w:pPr>
                    <w:spacing w:line="312" w:lineRule="auto"/>
                    <w:jc w:val="left"/>
                    <w:rPr>
                      <w:rFonts w:ascii="Arial" w:hAnsi="Arial" w:cs="Arial"/>
                      <w:b/>
                      <w:bCs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b/>
                      <w:bCs/>
                      <w:sz w:val="23"/>
                      <w:szCs w:val="23"/>
                    </w:rPr>
                    <w:t>参考日程</w:t>
                  </w:r>
                </w:p>
              </w:tc>
            </w:tr>
            <w:tr>
              <w:tblPrEx>
                <w:tblCellMar>
                  <w:top w:w="28" w:type="dxa"/>
                  <w:left w:w="28" w:type="dxa"/>
                  <w:bottom w:w="28" w:type="dxa"/>
                  <w:right w:w="28" w:type="dxa"/>
                </w:tblCellMar>
              </w:tblPrEx>
              <w:trPr>
                <w:trHeight w:val="22" w:hRule="atLeast"/>
              </w:trPr>
              <w:tc>
                <w:tcPr>
                  <w:tcW w:w="746" w:type="pct"/>
                </w:tcPr>
                <w:p>
                  <w:pPr>
                    <w:spacing w:line="312" w:lineRule="auto"/>
                    <w:jc w:val="left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sz w:val="23"/>
                      <w:szCs w:val="23"/>
                    </w:rPr>
                    <w:t>O</w:t>
                  </w: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C</w:t>
                  </w:r>
                  <w:r>
                    <w:rPr>
                      <w:rFonts w:ascii="Arial" w:hAnsi="Arial" w:cs="Arial"/>
                      <w:sz w:val="23"/>
                      <w:szCs w:val="23"/>
                    </w:rPr>
                    <w:t>O</w:t>
                  </w: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1405" w:type="pct"/>
                </w:tcPr>
                <w:p>
                  <w:pPr>
                    <w:spacing w:line="312" w:lineRule="auto"/>
                    <w:jc w:val="left"/>
                    <w:rPr>
                      <w:rFonts w:ascii="Arial" w:hAnsi="Arial" w:cs="Arial"/>
                      <w:b/>
                      <w:bCs/>
                      <w:color w:val="0071BC"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b/>
                      <w:bCs/>
                      <w:color w:val="0071BC"/>
                      <w:sz w:val="23"/>
                      <w:szCs w:val="23"/>
                    </w:rPr>
                    <w:t>商业金融与国际经济</w:t>
                  </w:r>
                </w:p>
              </w:tc>
              <w:tc>
                <w:tcPr>
                  <w:tcW w:w="983" w:type="pct"/>
                </w:tcPr>
                <w:p>
                  <w:pPr>
                    <w:spacing w:line="312" w:lineRule="auto"/>
                    <w:jc w:val="left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sz w:val="23"/>
                      <w:szCs w:val="23"/>
                    </w:rPr>
                    <w:t>0</w:t>
                  </w: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8.</w:t>
                  </w:r>
                  <w:r>
                    <w:rPr>
                      <w:rFonts w:ascii="Arial" w:hAnsi="Arial" w:cs="Arial"/>
                      <w:sz w:val="23"/>
                      <w:szCs w:val="23"/>
                    </w:rPr>
                    <w:t>03 – 08</w:t>
                  </w: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.</w:t>
                  </w:r>
                  <w:r>
                    <w:rPr>
                      <w:rFonts w:ascii="Arial" w:hAnsi="Arial" w:cs="Arial"/>
                      <w:sz w:val="23"/>
                      <w:szCs w:val="23"/>
                    </w:rPr>
                    <w:t>28</w:t>
                  </w:r>
                </w:p>
              </w:tc>
              <w:tc>
                <w:tcPr>
                  <w:tcW w:w="562" w:type="pct"/>
                </w:tcPr>
                <w:p>
                  <w:pPr>
                    <w:spacing w:line="312" w:lineRule="auto"/>
                    <w:jc w:val="left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4周</w:t>
                  </w:r>
                </w:p>
              </w:tc>
              <w:tc>
                <w:tcPr>
                  <w:tcW w:w="630" w:type="pct"/>
                </w:tcPr>
                <w:p>
                  <w:pPr>
                    <w:spacing w:line="312" w:lineRule="auto"/>
                    <w:jc w:val="left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6</w:t>
                  </w:r>
                  <w:r>
                    <w:rPr>
                      <w:rFonts w:ascii="Arial" w:hAnsi="Arial" w:cs="Arial"/>
                      <w:sz w:val="23"/>
                      <w:szCs w:val="23"/>
                    </w:rPr>
                    <w:t>800</w:t>
                  </w:r>
                </w:p>
              </w:tc>
              <w:tc>
                <w:tcPr>
                  <w:tcW w:w="211" w:type="pct"/>
                </w:tcPr>
                <w:p>
                  <w:pPr>
                    <w:spacing w:line="312" w:lineRule="auto"/>
                    <w:jc w:val="center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drawing>
                      <wp:inline distT="0" distB="0" distL="0" distR="0">
                        <wp:extent cx="179705" cy="179705"/>
                        <wp:effectExtent l="0" t="0" r="0" b="0"/>
                        <wp:docPr id="162" name="图形 1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" name="图形 1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3" w:type="pct"/>
                </w:tcPr>
                <w:p>
                  <w:pPr>
                    <w:spacing w:line="312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\l "项目主题：全球创新管理" </w:instrText>
                  </w:r>
                  <w:r>
                    <w:fldChar w:fldCharType="separate"/>
                  </w:r>
                  <w:r>
                    <w:rPr>
                      <w:rStyle w:val="9"/>
                      <w:rFonts w:hint="eastAsia" w:ascii="Arial" w:hAnsi="Arial" w:cs="Arial"/>
                      <w:b/>
                      <w:bCs/>
                      <w:color w:val="0071BC"/>
                      <w:sz w:val="23"/>
                      <w:szCs w:val="23"/>
                    </w:rPr>
                    <w:t>附件</w:t>
                  </w:r>
                  <w:r>
                    <w:rPr>
                      <w:rStyle w:val="9"/>
                      <w:rFonts w:ascii="Arial" w:hAnsi="Arial" w:cs="Arial"/>
                      <w:b/>
                      <w:bCs/>
                      <w:color w:val="0071BC"/>
                      <w:sz w:val="23"/>
                      <w:szCs w:val="23"/>
                    </w:rPr>
                    <w:t>1</w:t>
                  </w:r>
                  <w:r>
                    <w:rPr>
                      <w:rStyle w:val="9"/>
                      <w:rFonts w:ascii="Arial" w:hAnsi="Arial" w:cs="Arial"/>
                      <w:b/>
                      <w:bCs/>
                      <w:color w:val="0071BC"/>
                      <w:sz w:val="23"/>
                      <w:szCs w:val="23"/>
                    </w:rPr>
                    <w:fldChar w:fldCharType="end"/>
                  </w:r>
                </w:p>
              </w:tc>
            </w:tr>
            <w:tr>
              <w:tblPrEx>
                <w:tblCellMar>
                  <w:top w:w="28" w:type="dxa"/>
                  <w:left w:w="28" w:type="dxa"/>
                  <w:bottom w:w="28" w:type="dxa"/>
                  <w:right w:w="28" w:type="dxa"/>
                </w:tblCellMar>
              </w:tblPrEx>
              <w:trPr>
                <w:trHeight w:val="22" w:hRule="atLeast"/>
              </w:trPr>
              <w:tc>
                <w:tcPr>
                  <w:tcW w:w="746" w:type="pct"/>
                </w:tcPr>
                <w:p>
                  <w:pPr>
                    <w:spacing w:line="312" w:lineRule="auto"/>
                    <w:jc w:val="left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sz w:val="23"/>
                      <w:szCs w:val="23"/>
                    </w:rPr>
                    <w:t>O</w:t>
                  </w: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C</w:t>
                  </w:r>
                  <w:r>
                    <w:rPr>
                      <w:rFonts w:ascii="Arial" w:hAnsi="Arial" w:cs="Arial"/>
                      <w:sz w:val="23"/>
                      <w:szCs w:val="23"/>
                    </w:rPr>
                    <w:t>O2</w:t>
                  </w:r>
                </w:p>
              </w:tc>
              <w:tc>
                <w:tcPr>
                  <w:tcW w:w="1405" w:type="pct"/>
                </w:tcPr>
                <w:p>
                  <w:pPr>
                    <w:spacing w:line="312" w:lineRule="auto"/>
                    <w:jc w:val="left"/>
                    <w:rPr>
                      <w:rFonts w:ascii="Arial" w:hAnsi="Arial" w:cs="Arial"/>
                      <w:b/>
                      <w:bCs/>
                      <w:color w:val="0071BC"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b/>
                      <w:bCs/>
                      <w:color w:val="0071BC"/>
                      <w:sz w:val="23"/>
                      <w:szCs w:val="23"/>
                    </w:rPr>
                    <w:t>人工智能与全球科技</w:t>
                  </w:r>
                </w:p>
              </w:tc>
              <w:tc>
                <w:tcPr>
                  <w:tcW w:w="983" w:type="pct"/>
                </w:tcPr>
                <w:p>
                  <w:pPr>
                    <w:spacing w:line="312" w:lineRule="auto"/>
                    <w:jc w:val="left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sz w:val="23"/>
                      <w:szCs w:val="23"/>
                    </w:rPr>
                    <w:t>0</w:t>
                  </w: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8.</w:t>
                  </w:r>
                  <w:r>
                    <w:rPr>
                      <w:rFonts w:ascii="Arial" w:hAnsi="Arial" w:cs="Arial"/>
                      <w:sz w:val="23"/>
                      <w:szCs w:val="23"/>
                    </w:rPr>
                    <w:t>03 – 08</w:t>
                  </w: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.</w:t>
                  </w:r>
                  <w:r>
                    <w:rPr>
                      <w:rFonts w:ascii="Arial" w:hAnsi="Arial" w:cs="Arial"/>
                      <w:sz w:val="23"/>
                      <w:szCs w:val="23"/>
                    </w:rPr>
                    <w:t>28</w:t>
                  </w:r>
                </w:p>
              </w:tc>
              <w:tc>
                <w:tcPr>
                  <w:tcW w:w="562" w:type="pct"/>
                </w:tcPr>
                <w:p>
                  <w:pPr>
                    <w:spacing w:line="312" w:lineRule="auto"/>
                    <w:jc w:val="left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4周</w:t>
                  </w:r>
                </w:p>
              </w:tc>
              <w:tc>
                <w:tcPr>
                  <w:tcW w:w="630" w:type="pct"/>
                </w:tcPr>
                <w:p>
                  <w:pPr>
                    <w:spacing w:line="312" w:lineRule="auto"/>
                    <w:jc w:val="left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6</w:t>
                  </w:r>
                  <w:r>
                    <w:rPr>
                      <w:rFonts w:ascii="Arial" w:hAnsi="Arial" w:cs="Arial"/>
                      <w:sz w:val="23"/>
                      <w:szCs w:val="23"/>
                    </w:rPr>
                    <w:t>800</w:t>
                  </w:r>
                </w:p>
              </w:tc>
              <w:tc>
                <w:tcPr>
                  <w:tcW w:w="211" w:type="pct"/>
                </w:tcPr>
                <w:p>
                  <w:pPr>
                    <w:spacing w:line="312" w:lineRule="auto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drawing>
                      <wp:inline distT="0" distB="0" distL="0" distR="0">
                        <wp:extent cx="179705" cy="179705"/>
                        <wp:effectExtent l="0" t="0" r="0" b="0"/>
                        <wp:docPr id="6" name="图形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形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3" w:type="pct"/>
                </w:tcPr>
                <w:p>
                  <w:pPr>
                    <w:spacing w:line="312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\l "项目主题：人工智能" </w:instrText>
                  </w:r>
                  <w:r>
                    <w:fldChar w:fldCharType="separate"/>
                  </w:r>
                  <w:r>
                    <w:rPr>
                      <w:rStyle w:val="9"/>
                      <w:rFonts w:hint="eastAsia" w:ascii="Arial" w:hAnsi="Arial" w:cs="Arial"/>
                      <w:b/>
                      <w:bCs/>
                      <w:color w:val="0071BC"/>
                      <w:sz w:val="23"/>
                      <w:szCs w:val="23"/>
                    </w:rPr>
                    <w:t>附件</w:t>
                  </w:r>
                  <w:r>
                    <w:rPr>
                      <w:rStyle w:val="9"/>
                      <w:rFonts w:ascii="Arial" w:hAnsi="Arial" w:cs="Arial"/>
                      <w:b/>
                      <w:bCs/>
                      <w:color w:val="0071BC"/>
                      <w:sz w:val="23"/>
                      <w:szCs w:val="23"/>
                    </w:rPr>
                    <w:t>2</w:t>
                  </w:r>
                  <w:r>
                    <w:rPr>
                      <w:rStyle w:val="9"/>
                      <w:rFonts w:ascii="Arial" w:hAnsi="Arial" w:cs="Arial"/>
                      <w:b/>
                      <w:bCs/>
                      <w:color w:val="0071BC"/>
                      <w:sz w:val="23"/>
                      <w:szCs w:val="23"/>
                    </w:rPr>
                    <w:fldChar w:fldCharType="end"/>
                  </w:r>
                </w:p>
              </w:tc>
            </w:tr>
          </w:tbl>
          <w:p>
            <w:pPr>
              <w:rPr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674" w:type="dxa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color w:val="0071BC"/>
                <w:szCs w:val="21"/>
              </w:rPr>
            </w:pPr>
            <w:r>
              <w:rPr>
                <w:rFonts w:hint="eastAsia"/>
                <w:color w:val="0071BC"/>
                <w:szCs w:val="21"/>
              </w:rPr>
              <w:drawing>
                <wp:inline distT="0" distB="0" distL="0" distR="0">
                  <wp:extent cx="287655" cy="287655"/>
                  <wp:effectExtent l="0" t="0" r="0" b="0"/>
                  <wp:docPr id="25" name="图形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形 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color w:val="0071BC"/>
                <w:szCs w:val="21"/>
              </w:rPr>
            </w:pPr>
            <w:bookmarkStart w:id="2" w:name="大学简介"/>
            <w:r>
              <w:rPr>
                <w:rFonts w:hint="eastAsia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大学简介</w:t>
            </w:r>
            <w:bookmarkEnd w:id="2"/>
          </w:p>
        </w:tc>
        <w:tc>
          <w:tcPr>
            <w:tcW w:w="7892" w:type="dxa"/>
            <w:tcBorders>
              <w:bottom w:val="single" w:color="0071BC" w:sz="12" w:space="0"/>
            </w:tcBorders>
            <w:tcMar>
              <w:top w:w="0" w:type="dxa"/>
              <w:bottom w:w="0" w:type="dxa"/>
            </w:tcMar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  <w:tcMar>
              <w:top w:w="113" w:type="dxa"/>
              <w:left w:w="0" w:type="dxa"/>
              <w:bottom w:w="113" w:type="dxa"/>
              <w:right w:w="0" w:type="dxa"/>
            </w:tcMar>
          </w:tcPr>
          <w:p>
            <w:pPr>
              <w:rPr>
                <w:sz w:val="23"/>
                <w:szCs w:val="23"/>
              </w:rPr>
            </w:pPr>
            <w:r>
              <w:drawing>
                <wp:inline distT="0" distB="0" distL="0" distR="0">
                  <wp:extent cx="6479540" cy="1597025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</w:tcPr>
          <w:p>
            <w:pPr>
              <w:spacing w:line="288" w:lineRule="auto"/>
              <w:rPr>
                <w:sz w:val="23"/>
                <w:szCs w:val="23"/>
              </w:rPr>
            </w:pPr>
            <w:r>
              <w:rPr>
                <w:rFonts w:hint="eastAsia"/>
                <w:b/>
                <w:bCs/>
                <w:sz w:val="23"/>
                <w:szCs w:val="23"/>
              </w:rPr>
              <w:t>剑桥大学</w:t>
            </w:r>
            <w:r>
              <w:rPr>
                <w:sz w:val="23"/>
                <w:szCs w:val="23"/>
              </w:rPr>
              <w:t>，坐落于英国剑桥，是一所世界著名的公立研究型大学，采用书院联邦制 ，与牛津大学、伦敦大学学院、帝国理工学院、伦敦政治经济学院同属“G5超级精英大学”。剑桥大学是英语世界中第二古老的大学。</w:t>
            </w:r>
            <w:r>
              <w:rPr>
                <w:rFonts w:hint="eastAsia"/>
                <w:sz w:val="23"/>
                <w:szCs w:val="23"/>
              </w:rPr>
              <w:t>八百多年的校史汇聚了牛顿、开尔文、麦克斯韦、尼赫鲁、李光耀等政治人物，及罗伯特·沃波尔（首任）在内的</w:t>
            </w:r>
            <w:r>
              <w:rPr>
                <w:sz w:val="23"/>
                <w:szCs w:val="23"/>
              </w:rPr>
              <w:t>15位英国首相；</w:t>
            </w:r>
            <w:r>
              <w:rPr>
                <w:rFonts w:hint="eastAsia"/>
                <w:sz w:val="23"/>
                <w:szCs w:val="23"/>
              </w:rPr>
              <w:t>剑桥大学在许多领域拥有崇高的学术地位及广泛的影响力，被公认为当今世界最顶尖的高等教育机构之一。剑桥大学是多个学术联盟的成员，为英国“金三角名校”及剑桥大学医疗伙伴联盟的一员，衍育了科技聚集地“硅沼泽</w:t>
            </w:r>
            <w:r>
              <w:rPr>
                <w:sz w:val="23"/>
                <w:szCs w:val="23"/>
              </w:rPr>
              <w:t>”(Silicon Fen)。</w:t>
            </w:r>
          </w:p>
          <w:p>
            <w:pPr>
              <w:pStyle w:val="10"/>
              <w:numPr>
                <w:ilvl w:val="0"/>
                <w:numId w:val="1"/>
              </w:numPr>
              <w:spacing w:line="288" w:lineRule="auto"/>
              <w:ind w:firstLineChars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QS 202</w:t>
            </w:r>
            <w:r>
              <w:rPr>
                <w:rFonts w:hint="eastAsia"/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年全球大学排名：世界第7，英国第2</w:t>
            </w:r>
            <w:r>
              <w:rPr>
                <w:rFonts w:hint="eastAsia"/>
                <w:sz w:val="23"/>
                <w:szCs w:val="23"/>
              </w:rPr>
              <w:t>；</w:t>
            </w:r>
          </w:p>
          <w:p>
            <w:pPr>
              <w:pStyle w:val="10"/>
              <w:numPr>
                <w:ilvl w:val="0"/>
                <w:numId w:val="1"/>
              </w:numPr>
              <w:spacing w:line="288" w:lineRule="auto"/>
              <w:ind w:firstLineChars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G5超级精英大学</w:t>
            </w:r>
            <w:r>
              <w:rPr>
                <w:rFonts w:hint="eastAsia"/>
                <w:sz w:val="23"/>
                <w:szCs w:val="23"/>
              </w:rPr>
              <w:t>；</w:t>
            </w:r>
          </w:p>
          <w:p>
            <w:pPr>
              <w:pStyle w:val="10"/>
              <w:numPr>
                <w:ilvl w:val="0"/>
                <w:numId w:val="1"/>
              </w:numPr>
              <w:spacing w:after="240" w:line="288" w:lineRule="auto"/>
              <w:ind w:firstLineChars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至2018年10月，共有118位诺贝尔奖获得者（世界第2）、11位菲尔兹奖得主（世界第6）、6位图灵奖得主（世界第8）曾在此学习或工作。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</w:tcPr>
          <w:p>
            <w:pPr>
              <w:spacing w:line="288" w:lineRule="auto"/>
              <w:rPr>
                <w:sz w:val="23"/>
                <w:szCs w:val="23"/>
              </w:rPr>
            </w:pPr>
            <w:r>
              <w:rPr>
                <w:rFonts w:hint="eastAsia"/>
                <w:b/>
                <w:bCs/>
                <w:sz w:val="23"/>
                <w:szCs w:val="23"/>
              </w:rPr>
              <w:t>牛津大学</w:t>
            </w:r>
            <w:r>
              <w:rPr>
                <w:rFonts w:hint="eastAsia"/>
                <w:sz w:val="23"/>
                <w:szCs w:val="23"/>
              </w:rPr>
              <w:t>，位于英格兰东南区域牛津郡牛津市，由</w:t>
            </w:r>
            <w:r>
              <w:rPr>
                <w:sz w:val="23"/>
                <w:szCs w:val="23"/>
              </w:rPr>
              <w:t>38所独立书院及4所学术学院组成</w:t>
            </w:r>
            <w:r>
              <w:rPr>
                <w:rFonts w:hint="eastAsia"/>
                <w:sz w:val="23"/>
                <w:szCs w:val="23"/>
              </w:rPr>
              <w:t>。牛津大学最早成立于</w:t>
            </w:r>
            <w:r>
              <w:rPr>
                <w:sz w:val="23"/>
                <w:szCs w:val="23"/>
              </w:rPr>
              <w:t>1167年，为英语世界中最古老的大学，也是世界上现存第二古老的高等教育机构。</w:t>
            </w:r>
            <w:r>
              <w:rPr>
                <w:rFonts w:hint="eastAsia"/>
                <w:sz w:val="23"/>
                <w:szCs w:val="23"/>
              </w:rPr>
              <w:t>在这所超级大学中，</w:t>
            </w:r>
            <w:r>
              <w:rPr>
                <w:sz w:val="23"/>
                <w:szCs w:val="23"/>
              </w:rPr>
              <w:t>涌现出了一批引领时代的科学巨匠，培养了大量开创纪元的艺术大师以及国家元首。牛津大学在数学、物理、医学、法学、商学等多个领域拥有崇高的学术地位及广泛的影响力，被公认为是当今世界最顶尖的高等教育机构之一。</w:t>
            </w:r>
          </w:p>
          <w:p>
            <w:pPr>
              <w:pStyle w:val="10"/>
              <w:numPr>
                <w:ilvl w:val="0"/>
                <w:numId w:val="1"/>
              </w:numPr>
              <w:spacing w:line="288" w:lineRule="auto"/>
              <w:ind w:firstLineChars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QS 2021年全球大学排名：世界第</w:t>
            </w:r>
            <w:r>
              <w:rPr>
                <w:rFonts w:hint="eastAsia"/>
                <w:sz w:val="23"/>
                <w:szCs w:val="23"/>
              </w:rPr>
              <w:t>5，</w:t>
            </w:r>
            <w:r>
              <w:rPr>
                <w:sz w:val="23"/>
                <w:szCs w:val="23"/>
              </w:rPr>
              <w:t>英国第</w:t>
            </w:r>
            <w:r>
              <w:rPr>
                <w:rFonts w:hint="eastAsia"/>
                <w:sz w:val="23"/>
                <w:szCs w:val="23"/>
              </w:rPr>
              <w:t>1；</w:t>
            </w:r>
          </w:p>
          <w:p>
            <w:pPr>
              <w:pStyle w:val="10"/>
              <w:numPr>
                <w:ilvl w:val="0"/>
                <w:numId w:val="1"/>
              </w:numPr>
              <w:spacing w:line="288" w:lineRule="auto"/>
              <w:ind w:firstLineChars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G5超级精英大学</w:t>
            </w:r>
            <w:r>
              <w:rPr>
                <w:rFonts w:hint="eastAsia"/>
                <w:sz w:val="23"/>
                <w:szCs w:val="23"/>
              </w:rPr>
              <w:t>；</w:t>
            </w:r>
          </w:p>
          <w:p>
            <w:pPr>
              <w:spacing w:line="28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至2019年10月，共有</w:t>
            </w:r>
            <w:r>
              <w:rPr>
                <w:rFonts w:hint="eastAsia"/>
                <w:sz w:val="23"/>
                <w:szCs w:val="23"/>
              </w:rPr>
              <w:t>7</w:t>
            </w:r>
            <w:r>
              <w:rPr>
                <w:sz w:val="23"/>
                <w:szCs w:val="23"/>
              </w:rPr>
              <w:t>2位诺贝尔奖获得者、</w:t>
            </w:r>
            <w:r>
              <w:rPr>
                <w:rFonts w:hint="eastAsia"/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位菲尔兹奖得主、6位图灵奖</w:t>
            </w:r>
            <w:r>
              <w:rPr>
                <w:rFonts w:hint="eastAsia"/>
                <w:sz w:val="23"/>
                <w:szCs w:val="23"/>
              </w:rPr>
              <w:t>得主</w:t>
            </w:r>
            <w:r>
              <w:rPr>
                <w:sz w:val="23"/>
                <w:szCs w:val="23"/>
              </w:rPr>
              <w:t>曾在此学习或工作</w:t>
            </w:r>
            <w:r>
              <w:rPr>
                <w:rFonts w:hint="eastAsia"/>
                <w:sz w:val="23"/>
                <w:szCs w:val="23"/>
              </w:rPr>
              <w:t>；校友当中包括</w:t>
            </w:r>
            <w:r>
              <w:rPr>
                <w:sz w:val="23"/>
                <w:szCs w:val="23"/>
              </w:rPr>
              <w:t>28位英国首相、及多国领袖与政治要员</w:t>
            </w:r>
            <w:r>
              <w:rPr>
                <w:rFonts w:hint="eastAsia"/>
                <w:sz w:val="23"/>
                <w:szCs w:val="23"/>
              </w:rPr>
              <w:t>。</w:t>
            </w:r>
          </w:p>
        </w:tc>
      </w:tr>
    </w:tbl>
    <w:p>
      <w:pPr>
        <w:jc w:val="left"/>
      </w:pPr>
    </w:p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716"/>
        <w:gridCol w:w="34"/>
        <w:gridCol w:w="1542"/>
        <w:gridCol w:w="286"/>
        <w:gridCol w:w="438"/>
        <w:gridCol w:w="2142"/>
        <w:gridCol w:w="2580"/>
        <w:gridCol w:w="25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709" w:type="dxa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left"/>
              <w:rPr>
                <w:szCs w:val="21"/>
              </w:rPr>
            </w:pPr>
            <w:bookmarkStart w:id="3" w:name="_Hlk44772724"/>
            <w:r>
              <w:rPr>
                <w:szCs w:val="21"/>
              </w:rPr>
              <w:drawing>
                <wp:inline distT="0" distB="0" distL="0" distR="0">
                  <wp:extent cx="287655" cy="287655"/>
                  <wp:effectExtent l="0" t="0" r="0" b="0"/>
                  <wp:docPr id="31" name="图形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形 6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项目收获</w:t>
            </w:r>
          </w:p>
        </w:tc>
        <w:tc>
          <w:tcPr>
            <w:tcW w:w="7936" w:type="dxa"/>
            <w:gridSpan w:val="5"/>
            <w:tcBorders>
              <w:bottom w:val="single" w:color="0071BC" w:sz="12" w:space="0"/>
            </w:tcBorders>
            <w:tcMar>
              <w:top w:w="0" w:type="dxa"/>
              <w:bottom w:w="0" w:type="dxa"/>
            </w:tcMar>
          </w:tcPr>
          <w:p>
            <w:pPr>
              <w:rPr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8"/>
            <w:tcBorders>
              <w:top w:val="single" w:color="0071BC" w:sz="1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180" w:lineRule="exact"/>
              <w:rPr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8"/>
            <w:shd w:val="clear" w:color="auto" w:fill="CBE4F9"/>
          </w:tcPr>
          <w:p>
            <w:pPr>
              <w:spacing w:line="312" w:lineRule="auto"/>
              <w:jc w:val="left"/>
              <w:rPr>
                <w:rFonts w:ascii="Arial" w:hAnsi="Arial" w:cs="Arial"/>
                <w:kern w:val="0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顺利完成在线学术项目的学员，将收获</w:t>
            </w:r>
            <w:r>
              <w:rPr>
                <w:rFonts w:hint="eastAsia" w:eastAsiaTheme="minorHAnsi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结业证书、推荐证明信、成绩评定报告单，结业汇报获得最佳小组的每位成员将获得教授签发的优秀学员证明。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8"/>
          </w:tcPr>
          <w:p>
            <w:pPr>
              <w:rPr>
                <w:b/>
                <w:bCs/>
                <w:color w:val="0071BC"/>
                <w:sz w:val="28"/>
                <w:szCs w:val="28"/>
                <w:u w:val="single"/>
              </w:rPr>
            </w:pPr>
            <w:r>
              <w:rPr>
                <w:rFonts w:hint="eastAsia"/>
                <w:b/>
                <w:bCs/>
                <w:color w:val="0071BC"/>
                <w:sz w:val="28"/>
                <w:szCs w:val="28"/>
                <w:u w:val="single"/>
              </w:rPr>
              <w:t>结业证书</w:t>
            </w:r>
          </w:p>
          <w:p>
            <w:pPr>
              <w:spacing w:line="312" w:lineRule="auto"/>
              <w:jc w:val="left"/>
              <w:rPr>
                <w:szCs w:val="21"/>
              </w:rPr>
            </w:pPr>
            <w:r>
              <w:rPr>
                <w:rFonts w:hint="eastAsia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顺利完成课程的学员，将获得结业证书，既是对学员项目顺利结业的认可，也是作为对课程学习的证明。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8"/>
          </w:tcPr>
          <w:p>
            <w:pPr>
              <w:rPr>
                <w:rFonts w:eastAsiaTheme="minorHAnsi"/>
                <w:b/>
                <w:bCs/>
                <w:color w:val="0071BC"/>
                <w:sz w:val="28"/>
                <w:szCs w:val="28"/>
                <w:u w:val="single"/>
              </w:rPr>
            </w:pPr>
            <w:r>
              <w:rPr>
                <w:rFonts w:hint="eastAsia" w:eastAsiaTheme="minorHAnsi"/>
                <w:b/>
                <w:bCs/>
                <w:color w:val="0071BC"/>
                <w:sz w:val="28"/>
                <w:szCs w:val="28"/>
                <w:u w:val="single"/>
              </w:rPr>
              <w:t>成绩评定报告</w:t>
            </w:r>
          </w:p>
          <w:p>
            <w:pPr>
              <w:rPr>
                <w:b/>
                <w:bCs/>
                <w:color w:val="0071BC"/>
                <w:sz w:val="28"/>
                <w:szCs w:val="28"/>
                <w:u w:val="single"/>
              </w:rPr>
            </w:pPr>
            <w:r>
              <w:rPr>
                <w:rFonts w:hint="eastAsia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根据学生的</w:t>
            </w:r>
            <w:r>
              <w:rPr>
                <w:rFonts w:hint="eastAsia" w:eastAsiaTheme="minorHAnsi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出勤率、</w:t>
            </w:r>
            <w:r>
              <w:rPr>
                <w:rFonts w:hint="eastAsia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课堂表现、</w:t>
            </w:r>
            <w:r>
              <w:rPr>
                <w:rFonts w:hint="eastAsia" w:eastAsiaTheme="minorHAnsi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课程作业、结业汇报的完成</w:t>
            </w:r>
            <w:r>
              <w:rPr>
                <w:rFonts w:hint="eastAsia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等</w:t>
            </w:r>
            <w:r>
              <w:rPr>
                <w:rFonts w:hint="eastAsia" w:eastAsiaTheme="minorHAnsi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情况，教授将出具成绩报告单，成绩报告单中体现成绩等级、课程时间、课时长度等。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8"/>
          </w:tcPr>
          <w:p>
            <w:pPr>
              <w:rPr>
                <w:b/>
                <w:bCs/>
                <w:color w:val="0071BC"/>
                <w:sz w:val="28"/>
                <w:szCs w:val="28"/>
                <w:u w:val="single"/>
              </w:rPr>
            </w:pPr>
            <w:r>
              <w:rPr>
                <w:rFonts w:hint="eastAsia"/>
                <w:b/>
                <w:bCs/>
                <w:color w:val="0071BC"/>
                <w:sz w:val="28"/>
                <w:szCs w:val="28"/>
                <w:u w:val="single"/>
              </w:rPr>
              <w:t>项目推荐证明信</w:t>
            </w:r>
          </w:p>
          <w:p>
            <w:pPr>
              <w:spacing w:line="312" w:lineRule="auto"/>
              <w:jc w:val="left"/>
              <w:rPr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根据学生的</w:t>
            </w:r>
            <w:r>
              <w:rPr>
                <w:rFonts w:hint="eastAsia" w:eastAsiaTheme="minorHAnsi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出勤率、</w:t>
            </w:r>
            <w:r>
              <w:rPr>
                <w:rFonts w:hint="eastAsia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课堂表现、</w:t>
            </w:r>
            <w:r>
              <w:rPr>
                <w:rFonts w:hint="eastAsia" w:eastAsiaTheme="minorHAnsi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课程作业、结业汇报的完成</w:t>
            </w:r>
            <w:r>
              <w:rPr>
                <w:rFonts w:hint="eastAsia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等</w:t>
            </w:r>
            <w:r>
              <w:rPr>
                <w:rFonts w:hint="eastAsia" w:eastAsiaTheme="minorHAnsi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情况，教授将为每位学员出具项目推荐证明信。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8"/>
          </w:tcPr>
          <w:p>
            <w:pPr>
              <w:rPr>
                <w:rFonts w:eastAsiaTheme="minorHAnsi"/>
                <w:b/>
                <w:bCs/>
                <w:color w:val="0071BC"/>
                <w:sz w:val="28"/>
                <w:szCs w:val="28"/>
                <w:u w:val="single"/>
              </w:rPr>
            </w:pPr>
            <w:r>
              <w:rPr>
                <w:rFonts w:hint="eastAsia" w:eastAsiaTheme="minorHAnsi"/>
                <w:b/>
                <w:bCs/>
                <w:color w:val="0071BC"/>
                <w:sz w:val="28"/>
                <w:szCs w:val="28"/>
                <w:u w:val="single"/>
              </w:rPr>
              <w:t>优秀学员证明</w:t>
            </w:r>
          </w:p>
          <w:p>
            <w:pPr>
              <w:rPr>
                <w:b/>
                <w:bCs/>
                <w:color w:val="0071BC"/>
                <w:sz w:val="28"/>
                <w:szCs w:val="28"/>
                <w:u w:val="single"/>
              </w:rPr>
            </w:pPr>
            <w:r>
              <w:rPr>
                <w:rFonts w:hint="eastAsia" w:eastAsiaTheme="minorHAnsi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根据结业汇报各小组的完成情况，教授将评选最佳小组，并为最佳小组成员颁发优秀学员证明。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2551" w:type="dxa"/>
            <w:gridSpan w:val="4"/>
          </w:tcPr>
          <w:p>
            <w:pPr>
              <w:jc w:val="center"/>
              <w:rPr>
                <w:b/>
                <w:bCs/>
                <w:color w:val="0071BC"/>
                <w:sz w:val="28"/>
                <w:szCs w:val="28"/>
              </w:rPr>
            </w:pPr>
            <w:r>
              <w:rPr>
                <w:b/>
                <w:bCs/>
                <w:color w:val="0071BC"/>
                <w:sz w:val="28"/>
                <w:szCs w:val="28"/>
              </w:rPr>
              <w:drawing>
                <wp:inline distT="0" distB="0" distL="0" distR="0">
                  <wp:extent cx="1156970" cy="1637665"/>
                  <wp:effectExtent l="133350" t="114300" r="138430" b="1720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49" cy="163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>
            <w:pPr>
              <w:jc w:val="center"/>
              <w:rPr>
                <w:b/>
                <w:bCs/>
                <w:color w:val="0071BC"/>
                <w:sz w:val="28"/>
                <w:szCs w:val="28"/>
              </w:rPr>
            </w:pPr>
            <w:r>
              <w:rPr>
                <w:rFonts w:eastAsiaTheme="minorHAnsi"/>
                <w:b/>
                <w:bCs/>
                <w:color w:val="0071BC"/>
                <w:sz w:val="28"/>
                <w:szCs w:val="28"/>
              </w:rPr>
              <w:drawing>
                <wp:inline distT="0" distB="0" distL="0" distR="0">
                  <wp:extent cx="1158240" cy="1637665"/>
                  <wp:effectExtent l="133350" t="114300" r="156210" b="1720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13" cy="163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>
            <w:pPr>
              <w:jc w:val="center"/>
              <w:rPr>
                <w:b/>
                <w:bCs/>
                <w:color w:val="0071BC"/>
                <w:sz w:val="28"/>
                <w:szCs w:val="28"/>
              </w:rPr>
            </w:pPr>
            <w:r>
              <w:rPr>
                <w:rFonts w:eastAsiaTheme="minorHAnsi"/>
                <w:b/>
                <w:bCs/>
                <w:color w:val="0071BC"/>
                <w:sz w:val="28"/>
                <w:szCs w:val="28"/>
              </w:rPr>
              <w:drawing>
                <wp:inline distT="0" distB="0" distL="0" distR="0">
                  <wp:extent cx="1158240" cy="1637665"/>
                  <wp:effectExtent l="133350" t="114300" r="156210" b="1720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452" cy="163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>
            <w:pPr>
              <w:jc w:val="center"/>
              <w:rPr>
                <w:b/>
                <w:bCs/>
                <w:color w:val="0071BC"/>
                <w:sz w:val="28"/>
                <w:szCs w:val="28"/>
              </w:rPr>
            </w:pPr>
            <w:r>
              <w:rPr>
                <w:rFonts w:eastAsiaTheme="minorHAnsi"/>
                <w:b/>
                <w:bCs/>
                <w:color w:val="0071BC"/>
                <w:sz w:val="28"/>
                <w:szCs w:val="28"/>
              </w:rPr>
              <w:drawing>
                <wp:inline distT="0" distB="0" distL="0" distR="0">
                  <wp:extent cx="1158240" cy="1637665"/>
                  <wp:effectExtent l="133350" t="114300" r="156210" b="1720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13" cy="163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2551" w:type="dxa"/>
            <w:gridSpan w:val="4"/>
          </w:tcPr>
          <w:p>
            <w:pPr>
              <w:jc w:val="center"/>
              <w:rPr>
                <w:b/>
                <w:bCs/>
                <w:color w:val="0071BC"/>
                <w:sz w:val="23"/>
                <w:szCs w:val="23"/>
              </w:rPr>
            </w:pPr>
            <w:r>
              <w:rPr>
                <w:rFonts w:hint="eastAsia"/>
                <w:b/>
                <w:bCs/>
                <w:color w:val="0071BC"/>
                <w:sz w:val="23"/>
                <w:szCs w:val="23"/>
              </w:rPr>
              <w:t>结业证书</w:t>
            </w:r>
          </w:p>
        </w:tc>
        <w:tc>
          <w:tcPr>
            <w:tcW w:w="2551" w:type="dxa"/>
            <w:gridSpan w:val="2"/>
          </w:tcPr>
          <w:p>
            <w:pPr>
              <w:jc w:val="center"/>
              <w:rPr>
                <w:b/>
                <w:bCs/>
                <w:color w:val="0071BC"/>
                <w:sz w:val="23"/>
                <w:szCs w:val="23"/>
              </w:rPr>
            </w:pPr>
            <w:r>
              <w:rPr>
                <w:rFonts w:hint="eastAsia"/>
                <w:b/>
                <w:bCs/>
                <w:color w:val="0071BC"/>
                <w:sz w:val="23"/>
                <w:szCs w:val="23"/>
              </w:rPr>
              <w:t>成绩评定报告</w:t>
            </w:r>
          </w:p>
        </w:tc>
        <w:tc>
          <w:tcPr>
            <w:tcW w:w="2551" w:type="dxa"/>
          </w:tcPr>
          <w:p>
            <w:pPr>
              <w:jc w:val="center"/>
              <w:rPr>
                <w:b/>
                <w:bCs/>
                <w:color w:val="0071BC"/>
                <w:sz w:val="23"/>
                <w:szCs w:val="23"/>
              </w:rPr>
            </w:pPr>
            <w:r>
              <w:rPr>
                <w:rFonts w:hint="eastAsia"/>
                <w:b/>
                <w:bCs/>
                <w:color w:val="0071BC"/>
                <w:sz w:val="23"/>
                <w:szCs w:val="23"/>
              </w:rPr>
              <w:t>项目推荐证明信</w:t>
            </w:r>
          </w:p>
        </w:tc>
        <w:tc>
          <w:tcPr>
            <w:tcW w:w="2551" w:type="dxa"/>
          </w:tcPr>
          <w:p>
            <w:pPr>
              <w:jc w:val="center"/>
              <w:rPr>
                <w:b/>
                <w:bCs/>
                <w:color w:val="0071BC"/>
                <w:sz w:val="23"/>
                <w:szCs w:val="23"/>
              </w:rPr>
            </w:pPr>
            <w:r>
              <w:rPr>
                <w:rFonts w:hint="eastAsia"/>
                <w:b/>
                <w:bCs/>
                <w:color w:val="0071BC"/>
                <w:sz w:val="23"/>
                <w:szCs w:val="23"/>
              </w:rPr>
              <w:t>优秀学员证明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8"/>
          </w:tcPr>
          <w:p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</w:p>
        </w:tc>
      </w:tr>
      <w:bookmarkEnd w:id="3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743" w:type="dxa"/>
            <w:gridSpan w:val="2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rPr>
                <w:rFonts w:eastAsiaTheme="minorHAnsi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bookmarkStart w:id="4" w:name="_Hlk44772854"/>
            <w:r>
              <w:rPr>
                <w:rFonts w:eastAsiaTheme="minorHAnsi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drawing>
                <wp:inline distT="0" distB="0" distL="0" distR="0">
                  <wp:extent cx="287655" cy="287655"/>
                  <wp:effectExtent l="0" t="0" r="0" b="0"/>
                  <wp:docPr id="59" name="图形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形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gridSpan w:val="3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rPr>
                <w:rFonts w:eastAsiaTheme="minorHAnsi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eastAsiaTheme="minorHAnsi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课程概览</w:t>
            </w:r>
          </w:p>
        </w:tc>
        <w:tc>
          <w:tcPr>
            <w:tcW w:w="7220" w:type="dxa"/>
            <w:gridSpan w:val="3"/>
            <w:tcBorders>
              <w:bottom w:val="single" w:color="0071BC" w:sz="12" w:space="0"/>
            </w:tcBorders>
            <w:tcMar>
              <w:top w:w="0" w:type="dxa"/>
              <w:bottom w:w="0" w:type="dxa"/>
            </w:tcMar>
          </w:tcPr>
          <w:p>
            <w:pPr>
              <w:rPr>
                <w:rFonts w:eastAsiaTheme="minorHAnsi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8"/>
            <w:shd w:val="clear" w:color="auto" w:fill="auto"/>
          </w:tcPr>
          <w:p>
            <w:pPr>
              <w:spacing w:line="180" w:lineRule="exact"/>
              <w:rPr>
                <w:rFonts w:eastAsiaTheme="minorHAnsi"/>
                <w:sz w:val="23"/>
                <w:szCs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8"/>
            <w:shd w:val="clear" w:color="auto" w:fill="auto"/>
          </w:tcPr>
          <w:p>
            <w:pPr>
              <w:spacing w:before="156" w:beforeLines="50" w:line="288" w:lineRule="auto"/>
              <w:rPr>
                <w:b/>
                <w:bCs/>
                <w:color w:val="0071BC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3"/>
                <w:szCs w:val="23"/>
              </w:rPr>
              <w:t>剑桥和牛津的在线学习</w:t>
            </w:r>
            <w:r>
              <w:rPr>
                <w:rFonts w:hint="eastAsia"/>
                <w:sz w:val="23"/>
                <w:szCs w:val="23"/>
              </w:rPr>
              <w:t>项目将面向文商科学生开设“商业金融与国际经济”主题，面向理工科学生开设“</w:t>
            </w:r>
            <w:r>
              <w:rPr>
                <w:rFonts w:hint="eastAsia"/>
                <w:b/>
                <w:bCs/>
                <w:sz w:val="23"/>
                <w:szCs w:val="23"/>
                <w:u w:val="single"/>
              </w:rPr>
              <w:t>人工智能与全球科技</w:t>
            </w:r>
            <w:r>
              <w:rPr>
                <w:rFonts w:hint="eastAsia"/>
                <w:sz w:val="23"/>
                <w:szCs w:val="23"/>
              </w:rPr>
              <w:t>”主题。每个主题包含2周剑桥线上课程与2周牛津线上课程。每</w:t>
            </w:r>
            <w:r>
              <w:rPr>
                <w:rFonts w:hint="eastAsia" w:ascii="Arial" w:hAnsi="Arial" w:cs="Arial"/>
                <w:sz w:val="23"/>
                <w:szCs w:val="23"/>
              </w:rPr>
              <w:t>个课题均由该领域的剑桥和牛津教授或高级讲师执教，他们均享有崇高的学术声誉，部分教师还担任不同学院的院长或副院长、院士、实验室主任等。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8"/>
            <w:shd w:val="clear" w:color="auto" w:fill="auto"/>
          </w:tcPr>
          <w:p>
            <w:pPr>
              <w:spacing w:before="156" w:beforeLines="50" w:line="288" w:lineRule="auto"/>
              <w:rPr>
                <w:b/>
                <w:bCs/>
                <w:color w:val="0071BC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1BC"/>
                <w:sz w:val="28"/>
                <w:szCs w:val="28"/>
              </w:rPr>
              <w:t>全球商业与创新主题</w:t>
            </w:r>
          </w:p>
          <w:p>
            <w:pPr>
              <w:spacing w:before="156" w:beforeLines="50"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课程模块</w:t>
            </w:r>
          </w:p>
          <w:p>
            <w:pPr>
              <w:pStyle w:val="10"/>
              <w:numPr>
                <w:ilvl w:val="0"/>
                <w:numId w:val="2"/>
              </w:numPr>
              <w:spacing w:before="156" w:beforeLines="50" w:line="288" w:lineRule="auto"/>
              <w:ind w:firstLineChars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sz w:val="23"/>
                <w:szCs w:val="23"/>
              </w:rPr>
              <w:t>商业创新：涵盖全球化进程及对世界的影响、商业创新</w:t>
            </w:r>
            <w:r>
              <w:rPr>
                <w:rFonts w:ascii="Arial" w:hAnsi="Arial" w:cs="Arial"/>
                <w:sz w:val="23"/>
                <w:szCs w:val="23"/>
              </w:rPr>
              <w:t>/商业计划书、</w:t>
            </w:r>
            <w:r>
              <w:rPr>
                <w:rFonts w:hint="eastAsia" w:ascii="Arial" w:hAnsi="Arial" w:cs="Arial"/>
                <w:sz w:val="23"/>
                <w:szCs w:val="23"/>
              </w:rPr>
              <w:t>财务管理等课程；</w:t>
            </w:r>
          </w:p>
          <w:p>
            <w:pPr>
              <w:pStyle w:val="10"/>
              <w:numPr>
                <w:ilvl w:val="0"/>
                <w:numId w:val="2"/>
              </w:numPr>
              <w:spacing w:before="156" w:beforeLines="50" w:line="288" w:lineRule="auto"/>
              <w:ind w:firstLineChars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金融创新</w:t>
            </w:r>
            <w:r>
              <w:rPr>
                <w:rFonts w:hint="eastAsia" w:ascii="Arial" w:hAnsi="Arial" w:cs="Arial"/>
                <w:sz w:val="23"/>
                <w:szCs w:val="23"/>
              </w:rPr>
              <w:t>：涵盖公司金融、金融领域颠覆式创新（人工智能、自动化、区块链）等课程；</w:t>
            </w:r>
          </w:p>
          <w:p>
            <w:pPr>
              <w:pStyle w:val="10"/>
              <w:numPr>
                <w:ilvl w:val="0"/>
                <w:numId w:val="2"/>
              </w:numPr>
              <w:spacing w:before="156" w:beforeLines="50" w:line="288" w:lineRule="auto"/>
              <w:ind w:firstLineChars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sz w:val="23"/>
                <w:szCs w:val="23"/>
              </w:rPr>
              <w:t>创新管理：涵盖</w:t>
            </w:r>
            <w:r>
              <w:rPr>
                <w:rFonts w:ascii="Arial" w:hAnsi="Arial" w:cs="Arial"/>
                <w:sz w:val="23"/>
                <w:szCs w:val="23"/>
              </w:rPr>
              <w:t>21世纪领导力、创新与创业、欧盟-中国关系：战略伙伴关系展望、欧盟-中国的经济机遇与政策挑战等</w:t>
            </w:r>
            <w:r>
              <w:rPr>
                <w:rFonts w:hint="eastAsia" w:ascii="Arial" w:hAnsi="Arial" w:cs="Arial"/>
                <w:sz w:val="23"/>
                <w:szCs w:val="23"/>
              </w:rPr>
              <w:t>课程</w:t>
            </w:r>
            <w:r>
              <w:rPr>
                <w:rFonts w:ascii="Arial" w:hAnsi="Arial" w:cs="Arial"/>
                <w:sz w:val="23"/>
                <w:szCs w:val="23"/>
              </w:rPr>
              <w:t>；</w:t>
            </w:r>
          </w:p>
          <w:p>
            <w:pPr>
              <w:pStyle w:val="10"/>
              <w:numPr>
                <w:ilvl w:val="0"/>
                <w:numId w:val="2"/>
              </w:numPr>
              <w:spacing w:before="156" w:beforeLines="50" w:line="288" w:lineRule="auto"/>
              <w:ind w:firstLineChars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国际经济：</w:t>
            </w:r>
            <w:r>
              <w:rPr>
                <w:rFonts w:hint="eastAsia" w:ascii="Arial" w:hAnsi="Arial" w:cs="Arial"/>
                <w:sz w:val="23"/>
                <w:szCs w:val="23"/>
              </w:rPr>
              <w:t>涵盖</w:t>
            </w:r>
            <w:r>
              <w:rPr>
                <w:rFonts w:ascii="Arial" w:hAnsi="Arial" w:cs="Arial"/>
                <w:sz w:val="23"/>
                <w:szCs w:val="23"/>
              </w:rPr>
              <w:t>国际经济</w:t>
            </w:r>
            <w:r>
              <w:rPr>
                <w:rFonts w:hint="eastAsia" w:ascii="Arial" w:hAnsi="Arial" w:cs="Arial"/>
                <w:sz w:val="23"/>
                <w:szCs w:val="23"/>
              </w:rPr>
              <w:t>、博弈论（理论及案例分析）等课程。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1234" w:hRule="atLeast"/>
        </w:trPr>
        <w:tc>
          <w:tcPr>
            <w:tcW w:w="10204" w:type="dxa"/>
            <w:gridSpan w:val="8"/>
            <w:shd w:val="clear" w:color="auto" w:fill="auto"/>
          </w:tcPr>
          <w:p>
            <w:pPr>
              <w:spacing w:line="288" w:lineRule="auto"/>
              <w:rPr>
                <w:b/>
                <w:bCs/>
                <w:color w:val="0071BC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1BC"/>
                <w:sz w:val="28"/>
                <w:szCs w:val="28"/>
              </w:rPr>
              <w:t>人工智能与科技创新主题</w:t>
            </w:r>
          </w:p>
          <w:p>
            <w:pPr>
              <w:spacing w:before="156" w:beforeLines="50"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课程模块</w:t>
            </w:r>
          </w:p>
          <w:p>
            <w:pPr>
              <w:pStyle w:val="10"/>
              <w:numPr>
                <w:ilvl w:val="0"/>
                <w:numId w:val="3"/>
              </w:numPr>
              <w:spacing w:before="156" w:beforeLines="50" w:line="288" w:lineRule="auto"/>
              <w:ind w:firstLineChars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sz w:val="23"/>
                <w:szCs w:val="23"/>
              </w:rPr>
              <w:t>科技创新：涵盖剑桥高科技集群现象、数字变革、</w:t>
            </w:r>
            <w:r>
              <w:rPr>
                <w:rFonts w:ascii="Arial" w:hAnsi="Arial" w:cs="Arial"/>
                <w:sz w:val="23"/>
                <w:szCs w:val="23"/>
              </w:rPr>
              <w:t>金融领域的颠覆式创新（人工智能、自动化、区块链技术）</w:t>
            </w:r>
            <w:r>
              <w:rPr>
                <w:rFonts w:hint="eastAsia" w:ascii="Arial" w:hAnsi="Arial" w:cs="Arial"/>
                <w:sz w:val="23"/>
                <w:szCs w:val="23"/>
              </w:rPr>
              <w:t>等课程；</w:t>
            </w:r>
          </w:p>
          <w:p>
            <w:pPr>
              <w:pStyle w:val="10"/>
              <w:numPr>
                <w:ilvl w:val="0"/>
                <w:numId w:val="3"/>
              </w:numPr>
              <w:spacing w:before="156" w:beforeLines="50" w:line="288" w:lineRule="auto"/>
              <w:ind w:firstLineChars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sz w:val="23"/>
                <w:szCs w:val="23"/>
              </w:rPr>
              <w:t>机器学习：涵盖机器在线学习导论、</w:t>
            </w:r>
            <w:r>
              <w:rPr>
                <w:rFonts w:ascii="Arial" w:hAnsi="Arial" w:cs="Arial"/>
                <w:sz w:val="23"/>
                <w:szCs w:val="23"/>
              </w:rPr>
              <w:t>机器人最新机器学习技术</w:t>
            </w:r>
            <w:r>
              <w:rPr>
                <w:rFonts w:hint="eastAsia" w:ascii="Arial" w:hAnsi="Arial" w:cs="Arial"/>
                <w:sz w:val="23"/>
                <w:szCs w:val="23"/>
              </w:rPr>
              <w:t>、人机系统等课程；</w:t>
            </w:r>
          </w:p>
          <w:p>
            <w:pPr>
              <w:pStyle w:val="10"/>
              <w:numPr>
                <w:ilvl w:val="0"/>
                <w:numId w:val="3"/>
              </w:numPr>
              <w:spacing w:before="156" w:beforeLines="50" w:line="288" w:lineRule="auto"/>
              <w:ind w:firstLineChars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sz w:val="23"/>
                <w:szCs w:val="23"/>
              </w:rPr>
              <w:t>人工智能Ⅰ：涵盖人工智能导论、人工智能中的知识表示与智能推理等课程；</w:t>
            </w:r>
          </w:p>
          <w:p>
            <w:pPr>
              <w:pStyle w:val="10"/>
              <w:numPr>
                <w:ilvl w:val="0"/>
                <w:numId w:val="3"/>
              </w:numPr>
              <w:spacing w:before="156" w:beforeLines="50" w:line="288" w:lineRule="auto"/>
              <w:ind w:firstLineChars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sz w:val="23"/>
                <w:szCs w:val="23"/>
              </w:rPr>
              <w:t>人工智能Ⅱ：涵盖博弈论与计算、公平分配</w:t>
            </w:r>
            <w:r>
              <w:rPr>
                <w:rFonts w:ascii="Arial" w:hAnsi="Arial" w:cs="Arial"/>
                <w:sz w:val="23"/>
                <w:szCs w:val="23"/>
              </w:rPr>
              <w:t>的AI方法</w:t>
            </w:r>
            <w:r>
              <w:rPr>
                <w:rFonts w:hint="eastAsia" w:ascii="Arial" w:hAnsi="Arial" w:cs="Arial"/>
                <w:sz w:val="23"/>
                <w:szCs w:val="23"/>
              </w:rPr>
              <w:t>等课程。</w:t>
            </w:r>
          </w:p>
        </w:tc>
      </w:tr>
      <w:bookmarkEnd w:id="4"/>
    </w:tbl>
    <w:p>
      <w:bookmarkStart w:id="5" w:name="_Hlk44772917"/>
    </w:p>
    <w:p/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751"/>
        <w:gridCol w:w="2266"/>
        <w:gridCol w:w="73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743" w:type="dxa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rPr>
                <w:rFonts w:eastAsiaTheme="minorHAnsi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eastAsiaTheme="minorHAnsi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drawing>
                <wp:inline distT="0" distB="0" distL="0" distR="0">
                  <wp:extent cx="287655" cy="287655"/>
                  <wp:effectExtent l="0" t="0" r="0" b="0"/>
                  <wp:docPr id="3" name="图形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形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rPr>
                <w:rFonts w:eastAsiaTheme="minorHAnsi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eastAsiaTheme="minorHAnsi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师资介绍</w:t>
            </w:r>
          </w:p>
        </w:tc>
        <w:tc>
          <w:tcPr>
            <w:tcW w:w="7220" w:type="dxa"/>
            <w:tcBorders>
              <w:bottom w:val="single" w:color="0071BC" w:sz="12" w:space="0"/>
            </w:tcBorders>
            <w:tcMar>
              <w:top w:w="0" w:type="dxa"/>
              <w:bottom w:w="0" w:type="dxa"/>
            </w:tcMar>
          </w:tcPr>
          <w:p>
            <w:pPr>
              <w:rPr>
                <w:rFonts w:eastAsiaTheme="minorHAnsi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  <w:shd w:val="clear" w:color="auto" w:fill="auto"/>
          </w:tcPr>
          <w:p>
            <w:pPr>
              <w:spacing w:line="180" w:lineRule="exact"/>
              <w:rPr>
                <w:rFonts w:cs="Arial" w:eastAsiaTheme="minorHAnsi"/>
                <w:b/>
                <w:bCs/>
                <w:color w:val="0071BC"/>
                <w:sz w:val="23"/>
                <w:szCs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  <w:shd w:val="clear" w:color="auto" w:fill="auto"/>
          </w:tcPr>
          <w:p>
            <w:pPr>
              <w:spacing w:line="288" w:lineRule="auto"/>
              <w:rPr>
                <w:rFonts w:ascii="Arial" w:hAnsi="Arial" w:cs="Arial"/>
                <w:b/>
                <w:bCs/>
                <w:color w:val="0071BC"/>
                <w:sz w:val="23"/>
                <w:szCs w:val="23"/>
                <w:u w:val="single"/>
              </w:rPr>
            </w:pPr>
            <w:r>
              <w:rPr>
                <w:rFonts w:hint="eastAsia"/>
                <w:b/>
                <w:bCs/>
                <w:color w:val="0071BC"/>
                <w:sz w:val="28"/>
                <w:szCs w:val="28"/>
                <w:u w:val="single"/>
              </w:rPr>
              <w:t>剑桥师资介绍：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  <w:shd w:val="clear" w:color="auto" w:fill="auto"/>
          </w:tcPr>
          <w:p>
            <w:pPr>
              <w:spacing w:line="288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b/>
                <w:bCs/>
                <w:color w:val="0071BC"/>
                <w:sz w:val="23"/>
                <w:szCs w:val="23"/>
              </w:rPr>
              <w:t>劳 教授</w:t>
            </w:r>
            <w:r>
              <w:rPr>
                <w:rFonts w:ascii="Arial" w:hAnsi="Arial" w:cs="Arial"/>
                <w:b/>
                <w:bCs/>
                <w:color w:val="0071BC"/>
                <w:sz w:val="23"/>
                <w:szCs w:val="23"/>
              </w:rPr>
              <w:t xml:space="preserve"> </w:t>
            </w:r>
            <w:r>
              <w:rPr>
                <w:rFonts w:hint="eastAsia" w:ascii="Arial" w:hAnsi="Arial" w:cs="Arial"/>
                <w:sz w:val="23"/>
                <w:szCs w:val="23"/>
              </w:rPr>
              <w:t>剑桥大学贾吉商学院教授；欧洲金融协会的前任主席；剑桥替代金融中心（</w:t>
            </w:r>
            <w:r>
              <w:rPr>
                <w:rFonts w:ascii="Arial" w:hAnsi="Arial" w:cs="Arial"/>
                <w:sz w:val="23"/>
                <w:szCs w:val="23"/>
              </w:rPr>
              <w:t>CCAF</w:t>
            </w:r>
            <w:r>
              <w:rPr>
                <w:rFonts w:hint="eastAsia" w:ascii="Arial" w:hAnsi="Arial" w:cs="Arial"/>
                <w:sz w:val="23"/>
                <w:szCs w:val="23"/>
              </w:rPr>
              <w:t>）</w:t>
            </w:r>
            <w:r>
              <w:rPr>
                <w:rFonts w:ascii="Arial" w:hAnsi="Arial" w:cs="Arial"/>
                <w:sz w:val="23"/>
                <w:szCs w:val="23"/>
              </w:rPr>
              <w:t>创始人和董事</w:t>
            </w:r>
            <w:r>
              <w:rPr>
                <w:rFonts w:hint="eastAsia" w:ascii="Arial" w:hAnsi="Arial" w:cs="Arial"/>
                <w:sz w:val="23"/>
                <w:szCs w:val="23"/>
              </w:rPr>
              <w:t>；巴克莱全球投资者公司负责人。</w:t>
            </w:r>
          </w:p>
          <w:p>
            <w:pPr>
              <w:spacing w:after="240" w:line="288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b/>
                <w:bCs/>
                <w:sz w:val="23"/>
                <w:szCs w:val="23"/>
              </w:rPr>
              <w:t>讲授课题：</w:t>
            </w:r>
            <w:r>
              <w:rPr>
                <w:rFonts w:hint="eastAsia" w:ascii="Arial" w:hAnsi="Arial" w:cs="Arial"/>
                <w:sz w:val="23"/>
                <w:szCs w:val="23"/>
              </w:rPr>
              <w:t>公司金融 /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>
              <w:rPr>
                <w:rFonts w:hint="eastAsia" w:ascii="Arial" w:hAnsi="Arial" w:cs="Arial"/>
                <w:sz w:val="23"/>
                <w:szCs w:val="23"/>
              </w:rPr>
              <w:t>金融领域的颠覆式创新（人工智能、自动化、区块链技术）等。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  <w:shd w:val="clear" w:color="auto" w:fill="auto"/>
          </w:tcPr>
          <w:p>
            <w:pPr>
              <w:spacing w:line="288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b/>
                <w:bCs/>
                <w:color w:val="0071BC"/>
                <w:sz w:val="23"/>
                <w:szCs w:val="23"/>
              </w:rPr>
              <w:t xml:space="preserve">罗迪博士 </w:t>
            </w:r>
            <w:r>
              <w:rPr>
                <w:rFonts w:ascii="Arial" w:hAnsi="Arial" w:cs="Arial"/>
                <w:sz w:val="23"/>
                <w:szCs w:val="23"/>
              </w:rPr>
              <w:t>剑桥大学悉尼·苏塞克斯学院经济</w:t>
            </w:r>
            <w:r>
              <w:rPr>
                <w:rFonts w:hint="eastAsia" w:ascii="Arial" w:hAnsi="Arial" w:cs="Arial"/>
                <w:sz w:val="23"/>
                <w:szCs w:val="23"/>
              </w:rPr>
              <w:t>学研究</w:t>
            </w:r>
            <w:r>
              <w:rPr>
                <w:rFonts w:ascii="Arial" w:hAnsi="Arial" w:cs="Arial"/>
                <w:sz w:val="23"/>
                <w:szCs w:val="23"/>
              </w:rPr>
              <w:t>主任</w:t>
            </w:r>
            <w:r>
              <w:rPr>
                <w:rFonts w:hint="eastAsia" w:ascii="Arial" w:hAnsi="Arial" w:cs="Arial"/>
                <w:sz w:val="23"/>
                <w:szCs w:val="23"/>
              </w:rPr>
              <w:t>；</w:t>
            </w:r>
            <w:r>
              <w:rPr>
                <w:rFonts w:ascii="Arial" w:hAnsi="Arial" w:cs="Arial"/>
                <w:sz w:val="23"/>
                <w:szCs w:val="23"/>
              </w:rPr>
              <w:t>拥有剑桥大学数学学士学位和普林斯顿大学经济学博士学位</w:t>
            </w:r>
            <w:r>
              <w:rPr>
                <w:rFonts w:hint="eastAsia" w:ascii="Arial" w:hAnsi="Arial" w:cs="Arial"/>
                <w:sz w:val="23"/>
                <w:szCs w:val="23"/>
              </w:rPr>
              <w:t>；</w:t>
            </w:r>
            <w:r>
              <w:rPr>
                <w:rFonts w:ascii="Arial" w:hAnsi="Arial" w:cs="Arial"/>
                <w:sz w:val="23"/>
                <w:szCs w:val="23"/>
              </w:rPr>
              <w:t>曾在剑桥大学</w:t>
            </w:r>
            <w:r>
              <w:rPr>
                <w:rFonts w:hint="eastAsia" w:ascii="Arial" w:hAnsi="Arial" w:cs="Arial"/>
                <w:sz w:val="23"/>
                <w:szCs w:val="23"/>
              </w:rPr>
              <w:t>经济系和</w:t>
            </w:r>
            <w:r>
              <w:rPr>
                <w:rFonts w:ascii="Arial" w:hAnsi="Arial" w:cs="Arial"/>
                <w:sz w:val="23"/>
                <w:szCs w:val="23"/>
              </w:rPr>
              <w:t>商学院</w:t>
            </w:r>
            <w:r>
              <w:rPr>
                <w:rFonts w:hint="eastAsia" w:ascii="Arial" w:hAnsi="Arial" w:cs="Arial"/>
                <w:sz w:val="23"/>
                <w:szCs w:val="23"/>
              </w:rPr>
              <w:t>教授</w:t>
            </w:r>
            <w:r>
              <w:rPr>
                <w:rFonts w:ascii="Arial" w:hAnsi="Arial" w:cs="Arial"/>
                <w:sz w:val="23"/>
                <w:szCs w:val="23"/>
              </w:rPr>
              <w:t>微观经济学、产业和数学</w:t>
            </w:r>
            <w:r>
              <w:rPr>
                <w:rFonts w:hint="eastAsia" w:ascii="Arial" w:hAnsi="Arial" w:cs="Arial"/>
                <w:sz w:val="23"/>
                <w:szCs w:val="23"/>
              </w:rPr>
              <w:t>课程</w:t>
            </w:r>
            <w:r>
              <w:rPr>
                <w:rFonts w:ascii="Arial" w:hAnsi="Arial" w:cs="Arial"/>
                <w:sz w:val="23"/>
                <w:szCs w:val="23"/>
              </w:rPr>
              <w:t>。</w:t>
            </w:r>
          </w:p>
          <w:p>
            <w:pPr>
              <w:spacing w:after="240" w:line="288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b/>
                <w:bCs/>
                <w:sz w:val="23"/>
                <w:szCs w:val="23"/>
              </w:rPr>
              <w:t>讲授课程：</w:t>
            </w:r>
            <w:r>
              <w:rPr>
                <w:rFonts w:hint="eastAsia" w:ascii="Arial" w:hAnsi="Arial" w:cs="Arial"/>
                <w:sz w:val="23"/>
                <w:szCs w:val="23"/>
              </w:rPr>
              <w:t>金融经济学 /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>
              <w:rPr>
                <w:rFonts w:hint="eastAsia" w:ascii="Arial" w:hAnsi="Arial" w:cs="Arial"/>
                <w:sz w:val="23"/>
                <w:szCs w:val="23"/>
              </w:rPr>
              <w:t xml:space="preserve">商业创新 </w:t>
            </w:r>
            <w:r>
              <w:rPr>
                <w:rFonts w:ascii="Arial" w:hAnsi="Arial" w:cs="Arial"/>
                <w:sz w:val="23"/>
                <w:szCs w:val="23"/>
              </w:rPr>
              <w:t>/ 商业</w:t>
            </w:r>
            <w:r>
              <w:rPr>
                <w:rFonts w:hint="eastAsia" w:ascii="Arial" w:hAnsi="Arial" w:cs="Arial"/>
                <w:sz w:val="23"/>
                <w:szCs w:val="23"/>
              </w:rPr>
              <w:t>企划书等。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  <w:shd w:val="clear" w:color="auto" w:fill="auto"/>
          </w:tcPr>
          <w:p>
            <w:pPr>
              <w:spacing w:line="288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b/>
                <w:bCs/>
                <w:color w:val="0071BC"/>
                <w:sz w:val="23"/>
                <w:szCs w:val="23"/>
              </w:rPr>
              <w:t>博内博士</w:t>
            </w:r>
            <w:r>
              <w:rPr>
                <w:rFonts w:ascii="Arial" w:hAnsi="Arial" w:cs="Arial"/>
                <w:b/>
                <w:bCs/>
                <w:color w:val="0071BC"/>
                <w:sz w:val="23"/>
                <w:szCs w:val="23"/>
              </w:rPr>
              <w:t xml:space="preserve"> </w:t>
            </w:r>
            <w:r>
              <w:rPr>
                <w:rFonts w:hint="eastAsia" w:ascii="Arial" w:hAnsi="Arial" w:cs="Arial"/>
                <w:sz w:val="23"/>
                <w:szCs w:val="23"/>
              </w:rPr>
              <w:t>剑桥大学人机互动实验室创始人兼高级研究员；剑桥大学</w:t>
            </w:r>
            <w:r>
              <w:rPr>
                <w:rFonts w:ascii="Arial" w:hAnsi="Arial" w:cs="Arial"/>
                <w:sz w:val="23"/>
                <w:szCs w:val="23"/>
              </w:rPr>
              <w:t>VR / AR协会的联合创始人、高级财务主管、执行委员会成员</w:t>
            </w:r>
            <w:r>
              <w:rPr>
                <w:rFonts w:hint="eastAsia" w:ascii="Arial" w:hAnsi="Arial" w:cs="Arial"/>
                <w:sz w:val="23"/>
                <w:szCs w:val="23"/>
              </w:rPr>
              <w:t>；曾作为访问学者前往哈佛学习与生活。</w:t>
            </w:r>
          </w:p>
          <w:p>
            <w:pPr>
              <w:spacing w:after="240" w:line="288" w:lineRule="auto"/>
              <w:rPr>
                <w:rFonts w:ascii="Arial" w:hAnsi="Arial" w:cs="Arial"/>
                <w:b/>
                <w:bCs/>
                <w:color w:val="0071BC"/>
                <w:sz w:val="23"/>
                <w:szCs w:val="23"/>
              </w:rPr>
            </w:pPr>
            <w:r>
              <w:rPr>
                <w:rFonts w:hint="eastAsia" w:ascii="Arial" w:hAnsi="Arial" w:cs="Arial"/>
                <w:b/>
                <w:bCs/>
                <w:sz w:val="23"/>
                <w:szCs w:val="23"/>
              </w:rPr>
              <w:t>讲授课题：</w:t>
            </w:r>
            <w:r>
              <w:rPr>
                <w:rFonts w:hint="eastAsia" w:ascii="Arial" w:hAnsi="Arial" w:cs="Arial"/>
                <w:sz w:val="23"/>
                <w:szCs w:val="23"/>
              </w:rPr>
              <w:t>数字化转型/</w:t>
            </w:r>
            <w:r>
              <w:rPr>
                <w:rFonts w:hint="eastAsia"/>
                <w:sz w:val="23"/>
                <w:szCs w:val="23"/>
              </w:rPr>
              <w:t>科技与创新管理 /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rFonts w:hint="eastAsia" w:ascii="Arial" w:hAnsi="Arial" w:cs="Arial"/>
                <w:sz w:val="23"/>
                <w:szCs w:val="23"/>
              </w:rPr>
              <w:t>人机系统</w:t>
            </w:r>
            <w:r>
              <w:rPr>
                <w:rFonts w:hint="eastAsia"/>
                <w:sz w:val="23"/>
                <w:szCs w:val="23"/>
              </w:rPr>
              <w:t>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  <w:shd w:val="clear" w:color="auto" w:fill="auto"/>
          </w:tcPr>
          <w:p>
            <w:pPr>
              <w:spacing w:line="288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b/>
                <w:bCs/>
                <w:color w:val="0071BC"/>
                <w:sz w:val="23"/>
                <w:szCs w:val="23"/>
              </w:rPr>
              <w:t xml:space="preserve">托马斯博士 </w:t>
            </w:r>
            <w:r>
              <w:rPr>
                <w:rFonts w:hint="eastAsia" w:ascii="Arial" w:hAnsi="Arial" w:cs="Arial"/>
                <w:sz w:val="23"/>
                <w:szCs w:val="23"/>
              </w:rPr>
              <w:t>剑桥大学计算机科学系高级讲师；剑桥大学伊曼纽尔学院研究主任。</w:t>
            </w:r>
          </w:p>
          <w:p>
            <w:pPr>
              <w:spacing w:after="240" w:line="288" w:lineRule="auto"/>
              <w:rPr>
                <w:rFonts w:ascii="Arial" w:hAnsi="Arial" w:cs="Arial"/>
                <w:b/>
                <w:bCs/>
                <w:color w:val="0071BC"/>
                <w:sz w:val="23"/>
                <w:szCs w:val="23"/>
              </w:rPr>
            </w:pPr>
            <w:r>
              <w:rPr>
                <w:rFonts w:hint="eastAsia" w:ascii="Arial" w:hAnsi="Arial" w:cs="Arial"/>
                <w:b/>
                <w:bCs/>
                <w:sz w:val="23"/>
                <w:szCs w:val="23"/>
              </w:rPr>
              <w:t>讲授课题：</w:t>
            </w:r>
            <w:r>
              <w:rPr>
                <w:rFonts w:hint="eastAsia" w:ascii="Arial" w:hAnsi="Arial" w:cs="Arial"/>
                <w:sz w:val="23"/>
                <w:szCs w:val="23"/>
              </w:rPr>
              <w:t>机器在线学习 /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>
              <w:rPr>
                <w:rFonts w:hint="eastAsia" w:ascii="Arial" w:hAnsi="Arial" w:cs="Arial"/>
                <w:sz w:val="23"/>
                <w:szCs w:val="23"/>
              </w:rPr>
              <w:t>人工智能等。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  <w:shd w:val="clear" w:color="auto" w:fill="auto"/>
          </w:tcPr>
          <w:p>
            <w:pPr>
              <w:spacing w:line="288" w:lineRule="auto"/>
              <w:rPr>
                <w:rFonts w:ascii="Arial" w:hAnsi="Arial" w:cs="Arial"/>
                <w:b/>
                <w:bCs/>
                <w:color w:val="0071BC"/>
                <w:sz w:val="23"/>
                <w:szCs w:val="23"/>
              </w:rPr>
            </w:pPr>
            <w:r>
              <w:rPr>
                <w:rFonts w:hint="eastAsia"/>
                <w:b/>
                <w:bCs/>
                <w:color w:val="0071BC"/>
                <w:sz w:val="28"/>
                <w:szCs w:val="28"/>
                <w:u w:val="single"/>
              </w:rPr>
              <w:t>牛津师资介绍：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88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b/>
                <w:bCs/>
                <w:color w:val="0071BC"/>
                <w:sz w:val="23"/>
                <w:szCs w:val="23"/>
              </w:rPr>
              <w:t>罗利教授</w:t>
            </w:r>
            <w:r>
              <w:rPr>
                <w:rFonts w:ascii="Arial" w:hAnsi="Arial" w:cs="Arial"/>
                <w:sz w:val="23"/>
                <w:szCs w:val="23"/>
              </w:rPr>
              <w:t>牛津大学凯洛格学院客座院士</w:t>
            </w:r>
            <w:r>
              <w:rPr>
                <w:rFonts w:hint="eastAsia" w:ascii="Arial" w:hAnsi="Arial" w:cs="Arial"/>
                <w:sz w:val="23"/>
                <w:szCs w:val="23"/>
              </w:rPr>
              <w:t>；</w:t>
            </w:r>
            <w:r>
              <w:rPr>
                <w:rFonts w:ascii="Arial" w:hAnsi="Arial" w:cs="Arial"/>
                <w:sz w:val="23"/>
                <w:szCs w:val="23"/>
              </w:rPr>
              <w:t>亚洲就业和人力资源管理以及企业与管理研究领导人</w:t>
            </w:r>
            <w:r>
              <w:rPr>
                <w:rFonts w:hint="eastAsia" w:ascii="Arial" w:hAnsi="Arial" w:cs="Arial"/>
                <w:sz w:val="23"/>
                <w:szCs w:val="23"/>
              </w:rPr>
              <w:t>；</w:t>
            </w:r>
            <w:r>
              <w:rPr>
                <w:rFonts w:ascii="Arial" w:hAnsi="Arial" w:cs="Arial"/>
                <w:sz w:val="23"/>
                <w:szCs w:val="23"/>
              </w:rPr>
              <w:t>伦敦卡斯商学院亚洲管理研究中心的创会理事</w:t>
            </w:r>
            <w:r>
              <w:rPr>
                <w:rFonts w:hint="eastAsia" w:ascii="Arial" w:hAnsi="Arial" w:cs="Arial"/>
                <w:sz w:val="23"/>
                <w:szCs w:val="23"/>
              </w:rPr>
              <w:t>；</w:t>
            </w:r>
            <w:r>
              <w:rPr>
                <w:rFonts w:ascii="Arial" w:hAnsi="Arial" w:cs="Arial"/>
                <w:sz w:val="23"/>
                <w:szCs w:val="23"/>
              </w:rPr>
              <w:t>亚洲领先的跨学科学术期刊《亚太商业评论》和《中国人力资源管理杂志》编辑</w:t>
            </w:r>
            <w:r>
              <w:rPr>
                <w:rFonts w:hint="eastAsia" w:ascii="Arial" w:hAnsi="Arial" w:cs="Arial"/>
                <w:sz w:val="23"/>
                <w:szCs w:val="23"/>
              </w:rPr>
              <w:t>。</w:t>
            </w:r>
          </w:p>
          <w:p>
            <w:pPr>
              <w:spacing w:after="240" w:line="288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b/>
                <w:bCs/>
                <w:sz w:val="23"/>
                <w:szCs w:val="23"/>
              </w:rPr>
              <w:t>讲授课题：</w:t>
            </w:r>
            <w:r>
              <w:rPr>
                <w:rFonts w:ascii="Arial" w:hAnsi="Arial" w:cs="Arial"/>
                <w:sz w:val="23"/>
                <w:szCs w:val="23"/>
              </w:rPr>
              <w:t>牛津大学简史与学院制特色</w:t>
            </w:r>
            <w:r>
              <w:rPr>
                <w:rFonts w:hint="eastAsia" w:ascii="Arial" w:hAnsi="Arial" w:cs="Arial"/>
                <w:sz w:val="23"/>
                <w:szCs w:val="23"/>
              </w:rPr>
              <w:t xml:space="preserve"> /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>
              <w:rPr>
                <w:rFonts w:hint="eastAsia" w:ascii="Arial" w:hAnsi="Arial" w:cs="Arial"/>
                <w:sz w:val="23"/>
                <w:szCs w:val="23"/>
              </w:rPr>
              <w:t>全球化 /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>
              <w:rPr>
                <w:rFonts w:hint="eastAsia" w:ascii="Arial" w:hAnsi="Arial" w:cs="Arial"/>
                <w:sz w:val="23"/>
                <w:szCs w:val="23"/>
              </w:rPr>
              <w:t>创新与创业 /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>
              <w:rPr>
                <w:rFonts w:hint="eastAsia" w:ascii="Arial" w:hAnsi="Arial" w:cs="Arial"/>
                <w:sz w:val="23"/>
                <w:szCs w:val="23"/>
              </w:rPr>
              <w:t>领导力等。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88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b/>
                <w:bCs/>
                <w:color w:val="0071BC"/>
                <w:sz w:val="23"/>
                <w:szCs w:val="23"/>
              </w:rPr>
              <w:t xml:space="preserve">克鲁克斯教授 </w:t>
            </w:r>
            <w:r>
              <w:rPr>
                <w:rFonts w:ascii="Arial" w:hAnsi="Arial" w:cs="Arial"/>
                <w:sz w:val="23"/>
                <w:szCs w:val="23"/>
              </w:rPr>
              <w:t>牛津大学全球与地区研究院研究生院主任</w:t>
            </w:r>
            <w:r>
              <w:rPr>
                <w:rFonts w:hint="eastAsia" w:ascii="Arial" w:hAnsi="Arial" w:cs="Arial"/>
                <w:sz w:val="23"/>
                <w:szCs w:val="23"/>
              </w:rPr>
              <w:t>；</w:t>
            </w:r>
            <w:r>
              <w:rPr>
                <w:rFonts w:ascii="Arial" w:hAnsi="Arial" w:cs="Arial"/>
                <w:sz w:val="23"/>
                <w:szCs w:val="23"/>
              </w:rPr>
              <w:t>牛津大学全球与地区研究院当代中国研究主任</w:t>
            </w:r>
            <w:r>
              <w:rPr>
                <w:rFonts w:hint="eastAsia" w:ascii="Arial" w:hAnsi="Arial" w:cs="Arial"/>
                <w:sz w:val="23"/>
                <w:szCs w:val="23"/>
              </w:rPr>
              <w:t>。</w:t>
            </w:r>
          </w:p>
          <w:p>
            <w:pPr>
              <w:spacing w:after="240" w:line="288" w:lineRule="auto"/>
              <w:rPr>
                <w:rFonts w:ascii="Arial" w:hAnsi="Arial" w:cs="Arial"/>
                <w:b/>
                <w:bCs/>
                <w:color w:val="0071BC"/>
                <w:sz w:val="23"/>
                <w:szCs w:val="23"/>
              </w:rPr>
            </w:pPr>
            <w:r>
              <w:rPr>
                <w:rFonts w:hint="eastAsia" w:ascii="Arial" w:hAnsi="Arial" w:cs="Arial"/>
                <w:b/>
                <w:bCs/>
                <w:sz w:val="23"/>
                <w:szCs w:val="23"/>
              </w:rPr>
              <w:t>讲授课题：</w:t>
            </w:r>
            <w:r>
              <w:rPr>
                <w:rFonts w:hint="eastAsia" w:ascii="Arial" w:hAnsi="Arial" w:cs="Arial"/>
                <w:sz w:val="23"/>
                <w:szCs w:val="23"/>
              </w:rPr>
              <w:t>中欧关系与脱欧影响/中欧经济发展机遇与挑战等。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88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b/>
                <w:bCs/>
                <w:color w:val="0071BC"/>
                <w:sz w:val="23"/>
                <w:szCs w:val="23"/>
              </w:rPr>
              <w:t xml:space="preserve">格劳教授 </w:t>
            </w:r>
            <w:r>
              <w:rPr>
                <w:rFonts w:ascii="Arial" w:hAnsi="Arial" w:cs="Arial"/>
                <w:sz w:val="23"/>
                <w:szCs w:val="23"/>
              </w:rPr>
              <w:t>牛津大学计算机科学系教授</w:t>
            </w:r>
            <w:r>
              <w:rPr>
                <w:rFonts w:hint="eastAsia" w:ascii="Arial" w:hAnsi="Arial" w:cs="Arial"/>
                <w:sz w:val="23"/>
                <w:szCs w:val="23"/>
              </w:rPr>
              <w:t>；</w:t>
            </w:r>
            <w:r>
              <w:rPr>
                <w:rFonts w:ascii="Arial" w:hAnsi="Arial" w:cs="Arial"/>
                <w:sz w:val="23"/>
                <w:szCs w:val="23"/>
              </w:rPr>
              <w:t>牛津大学基布尔学院指导院士</w:t>
            </w:r>
            <w:r>
              <w:rPr>
                <w:rFonts w:hint="eastAsia" w:ascii="Arial" w:hAnsi="Arial" w:cs="Arial"/>
                <w:sz w:val="23"/>
                <w:szCs w:val="23"/>
              </w:rPr>
              <w:t>；</w:t>
            </w:r>
            <w:r>
              <w:rPr>
                <w:rFonts w:ascii="Arial" w:hAnsi="Arial" w:cs="Arial"/>
                <w:sz w:val="23"/>
                <w:szCs w:val="23"/>
              </w:rPr>
              <w:t>2017年获得英国皇家学会颁发大学研究奖学金</w:t>
            </w:r>
            <w:r>
              <w:rPr>
                <w:rFonts w:hint="eastAsia" w:ascii="Arial" w:hAnsi="Arial" w:cs="Arial"/>
                <w:sz w:val="23"/>
                <w:szCs w:val="23"/>
              </w:rPr>
              <w:t>。</w:t>
            </w:r>
          </w:p>
          <w:p>
            <w:pPr>
              <w:spacing w:after="240" w:line="288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b/>
                <w:bCs/>
                <w:sz w:val="23"/>
                <w:szCs w:val="23"/>
              </w:rPr>
              <w:t>讲授课题：</w:t>
            </w:r>
            <w:r>
              <w:rPr>
                <w:rFonts w:hint="eastAsia" w:ascii="Arial" w:hAnsi="Arial" w:cs="Arial"/>
                <w:sz w:val="23"/>
                <w:szCs w:val="23"/>
              </w:rPr>
              <w:t>人工智能导论 /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>
              <w:rPr>
                <w:rFonts w:hint="eastAsia" w:ascii="Arial" w:hAnsi="Arial" w:cs="Arial"/>
                <w:sz w:val="23"/>
                <w:szCs w:val="23"/>
              </w:rPr>
              <w:t>人工智能中的知识表示和自动推理等。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88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b/>
                <w:bCs/>
                <w:color w:val="0071BC"/>
                <w:sz w:val="23"/>
                <w:szCs w:val="23"/>
              </w:rPr>
              <w:t xml:space="preserve">艾尔金德教授 </w:t>
            </w:r>
            <w:r>
              <w:rPr>
                <w:rFonts w:ascii="Arial" w:hAnsi="Arial" w:cs="Arial"/>
                <w:b/>
                <w:bCs/>
                <w:color w:val="0071BC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</w:rPr>
              <w:t>牛津大学计算机科学系教授</w:t>
            </w:r>
            <w:r>
              <w:rPr>
                <w:rFonts w:hint="eastAsia" w:ascii="Arial" w:hAnsi="Arial" w:cs="Arial"/>
                <w:sz w:val="23"/>
                <w:szCs w:val="23"/>
              </w:rPr>
              <w:t>；</w:t>
            </w:r>
            <w:r>
              <w:rPr>
                <w:rFonts w:ascii="Arial" w:hAnsi="Arial" w:cs="Arial"/>
                <w:sz w:val="23"/>
                <w:szCs w:val="23"/>
              </w:rPr>
              <w:t>牛津大学贝利奥尔学院院士</w:t>
            </w:r>
            <w:r>
              <w:rPr>
                <w:rFonts w:hint="eastAsia" w:ascii="Arial" w:hAnsi="Arial" w:cs="Arial"/>
                <w:sz w:val="23"/>
                <w:szCs w:val="23"/>
              </w:rPr>
              <w:t>；</w:t>
            </w:r>
            <w:r>
              <w:rPr>
                <w:rFonts w:ascii="Arial" w:hAnsi="Arial" w:cs="Arial"/>
                <w:sz w:val="23"/>
                <w:szCs w:val="23"/>
              </w:rPr>
              <w:t>前南洋理工大学副教授，获国家研究基金会(NRF)奖学金支持</w:t>
            </w:r>
            <w:r>
              <w:rPr>
                <w:rFonts w:hint="eastAsia" w:ascii="Arial" w:hAnsi="Arial" w:cs="Arial"/>
                <w:sz w:val="23"/>
                <w:szCs w:val="23"/>
              </w:rPr>
              <w:t>。</w:t>
            </w:r>
          </w:p>
          <w:p>
            <w:pPr>
              <w:spacing w:after="240" w:line="288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hint="eastAsia" w:ascii="Arial" w:hAnsi="Arial" w:cs="Arial"/>
                <w:b/>
                <w:bCs/>
                <w:sz w:val="23"/>
                <w:szCs w:val="23"/>
              </w:rPr>
              <w:t>讲授课题：</w:t>
            </w:r>
            <w:r>
              <w:rPr>
                <w:rFonts w:hint="eastAsia" w:ascii="Arial" w:hAnsi="Arial" w:cs="Arial"/>
                <w:sz w:val="23"/>
                <w:szCs w:val="23"/>
              </w:rPr>
              <w:t>博弈论与计算 /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>
              <w:rPr>
                <w:rFonts w:hint="eastAsia" w:ascii="Arial" w:hAnsi="Arial" w:cs="Arial"/>
                <w:sz w:val="23"/>
                <w:szCs w:val="23"/>
              </w:rPr>
              <w:t>公平分配的</w:t>
            </w:r>
            <w:r>
              <w:rPr>
                <w:rFonts w:ascii="Arial" w:hAnsi="Arial" w:cs="Arial"/>
                <w:sz w:val="23"/>
                <w:szCs w:val="23"/>
              </w:rPr>
              <w:t>AI方法</w:t>
            </w:r>
            <w:r>
              <w:rPr>
                <w:rFonts w:hint="eastAsia" w:ascii="Arial" w:hAnsi="Arial" w:cs="Arial"/>
                <w:sz w:val="23"/>
                <w:szCs w:val="23"/>
              </w:rPr>
              <w:t>等。</w:t>
            </w:r>
          </w:p>
        </w:tc>
      </w:tr>
    </w:tbl>
    <w:p>
      <w:pPr>
        <w:widowControl/>
        <w:jc w:val="left"/>
      </w:pPr>
      <w:r>
        <w:rPr>
          <w:rFonts w:hint="eastAsia"/>
        </w:rPr>
        <w:t>注：以上师资为往期师资，实际授课将根据教师时间安排有所调整。</w:t>
      </w:r>
    </w:p>
    <w:p>
      <w:pPr>
        <w:widowControl/>
        <w:jc w:val="left"/>
      </w:pPr>
      <w:r>
        <w:br w:type="page"/>
      </w:r>
    </w:p>
    <w:bookmarkEnd w:id="5"/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658"/>
        <w:gridCol w:w="210"/>
        <w:gridCol w:w="320"/>
        <w:gridCol w:w="1248"/>
        <w:gridCol w:w="861"/>
        <w:gridCol w:w="1719"/>
        <w:gridCol w:w="5202"/>
        <w:gridCol w:w="1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319" w:type="pct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rPr>
                <w:rFonts w:eastAsiaTheme="minorHAnsi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bookmarkStart w:id="6" w:name="_Hlk44773038"/>
            <w:r>
              <w:rPr>
                <w:rFonts w:eastAsiaTheme="minorHAnsi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drawing>
                <wp:inline distT="0" distB="0" distL="0" distR="0">
                  <wp:extent cx="287655" cy="287655"/>
                  <wp:effectExtent l="0" t="0" r="0" b="0"/>
                  <wp:docPr id="60" name="图形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形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pct"/>
            <w:gridSpan w:val="7"/>
            <w:tcBorders>
              <w:bottom w:val="single" w:color="0071BC" w:sz="12" w:space="0"/>
            </w:tcBorders>
            <w:shd w:val="clear" w:color="auto" w:fill="0071BC"/>
          </w:tcPr>
          <w:p>
            <w:pPr>
              <w:rPr>
                <w:rFonts w:eastAsiaTheme="minorHAnsi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eastAsiaTheme="minorHAnsi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课程主题1：</w:t>
            </w:r>
            <w:r>
              <w:rPr>
                <w:rFonts w:hint="eastAsia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全</w:t>
            </w:r>
            <w:r>
              <w:rPr>
                <w:rFonts w:hint="eastAsia" w:eastAsiaTheme="minorHAnsi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球商业与创新主题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421" w:type="pct"/>
            <w:gridSpan w:val="2"/>
          </w:tcPr>
          <w:p>
            <w:pPr>
              <w:spacing w:line="180" w:lineRule="exact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4579" w:type="pct"/>
            <w:gridSpan w:val="6"/>
            <w:shd w:val="clear" w:color="auto" w:fill="auto"/>
          </w:tcPr>
          <w:p>
            <w:pPr>
              <w:spacing w:line="180" w:lineRule="exact"/>
              <w:rPr>
                <w:rFonts w:eastAsiaTheme="minorHAnsi"/>
                <w:sz w:val="23"/>
                <w:szCs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48" w:type="pct"/>
        </w:trPr>
        <w:tc>
          <w:tcPr>
            <w:tcW w:w="576" w:type="pct"/>
            <w:gridSpan w:val="3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BDD6EE" w:themeFill="accent5" w:themeFillTint="66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#</w:t>
            </w:r>
          </w:p>
        </w:tc>
        <w:tc>
          <w:tcPr>
            <w:tcW w:w="605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BDD6EE" w:themeFill="accent5" w:themeFillTint="66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课程模块</w:t>
            </w:r>
          </w:p>
        </w:tc>
        <w:tc>
          <w:tcPr>
            <w:tcW w:w="417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BDD6EE" w:themeFill="accent5" w:themeFillTint="66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日期</w:t>
            </w:r>
          </w:p>
        </w:tc>
        <w:tc>
          <w:tcPr>
            <w:tcW w:w="833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BDD6EE" w:themeFill="accent5" w:themeFillTint="66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时间</w:t>
            </w:r>
          </w:p>
        </w:tc>
        <w:tc>
          <w:tcPr>
            <w:tcW w:w="2521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BDD6EE" w:themeFill="accent5" w:themeFillTint="66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课程大纲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48" w:type="pct"/>
        </w:trPr>
        <w:tc>
          <w:tcPr>
            <w:tcW w:w="576" w:type="pct"/>
            <w:gridSpan w:val="3"/>
            <w:vMerge w:val="restart"/>
            <w:tcBorders>
              <w:top w:val="single" w:color="8EAADB" w:themeColor="accent1" w:themeTint="99" w:sz="4" w:space="0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第一周</w:t>
            </w:r>
          </w:p>
        </w:tc>
        <w:tc>
          <w:tcPr>
            <w:tcW w:w="605" w:type="pct"/>
            <w:vMerge w:val="restart"/>
            <w:tcBorders>
              <w:top w:val="single" w:color="8EAADB" w:themeColor="accent1" w:themeTint="99" w:sz="4" w:space="0"/>
              <w:left w:val="nil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全球商业</w:t>
            </w:r>
          </w:p>
        </w:tc>
        <w:tc>
          <w:tcPr>
            <w:tcW w:w="417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周一</w:t>
            </w:r>
          </w:p>
        </w:tc>
        <w:tc>
          <w:tcPr>
            <w:tcW w:w="833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2521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项目导览&amp;剑桥欢迎致辞</w:t>
            </w:r>
          </w:p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在线课程：全球化进程及对世界的影响</w:t>
            </w:r>
          </w:p>
          <w:p>
            <w:pPr>
              <w:spacing w:line="288" w:lineRule="auto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发布小组结业题目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48" w:type="pct"/>
        </w:trPr>
        <w:tc>
          <w:tcPr>
            <w:tcW w:w="576" w:type="pct"/>
            <w:gridSpan w:val="3"/>
            <w:vMerge w:val="continue"/>
            <w:tcBorders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</w:p>
        </w:tc>
        <w:tc>
          <w:tcPr>
            <w:tcW w:w="605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417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周三</w:t>
            </w:r>
          </w:p>
        </w:tc>
        <w:tc>
          <w:tcPr>
            <w:tcW w:w="833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2521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在线课程：商业创新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48" w:type="pct"/>
        </w:trPr>
        <w:tc>
          <w:tcPr>
            <w:tcW w:w="576" w:type="pct"/>
            <w:gridSpan w:val="3"/>
            <w:vMerge w:val="continue"/>
            <w:tcBorders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</w:p>
        </w:tc>
        <w:tc>
          <w:tcPr>
            <w:tcW w:w="605" w:type="pct"/>
            <w:vMerge w:val="continue"/>
            <w:tcBorders>
              <w:left w:val="nil"/>
              <w:bottom w:val="single" w:color="8EAADB" w:themeColor="accent1" w:themeTint="99" w:sz="4" w:space="0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417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周五</w:t>
            </w:r>
          </w:p>
        </w:tc>
        <w:tc>
          <w:tcPr>
            <w:tcW w:w="833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2521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</w:t>
            </w:r>
            <w:r>
              <w:rPr>
                <w:rFonts w:eastAsiaTheme="minorHAnsi"/>
                <w:b/>
                <w:bCs/>
                <w:sz w:val="23"/>
                <w:szCs w:val="23"/>
              </w:rPr>
              <w:t>财务管理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48" w:type="pct"/>
        </w:trPr>
        <w:tc>
          <w:tcPr>
            <w:tcW w:w="576" w:type="pct"/>
            <w:gridSpan w:val="3"/>
            <w:vMerge w:val="restart"/>
            <w:tcBorders>
              <w:top w:val="single" w:color="8EAADB" w:themeColor="accent1" w:themeTint="99" w:sz="4" w:space="0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第二周</w:t>
            </w:r>
          </w:p>
        </w:tc>
        <w:tc>
          <w:tcPr>
            <w:tcW w:w="605" w:type="pct"/>
            <w:vMerge w:val="restart"/>
            <w:tcBorders>
              <w:top w:val="single" w:color="8EAADB" w:themeColor="accent1" w:themeTint="99" w:sz="4" w:space="0"/>
              <w:left w:val="nil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金融创新</w:t>
            </w:r>
          </w:p>
        </w:tc>
        <w:tc>
          <w:tcPr>
            <w:tcW w:w="417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周一</w:t>
            </w:r>
          </w:p>
        </w:tc>
        <w:tc>
          <w:tcPr>
            <w:tcW w:w="833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2521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在线课程：公司金融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48" w:type="pct"/>
        </w:trPr>
        <w:tc>
          <w:tcPr>
            <w:tcW w:w="576" w:type="pct"/>
            <w:gridSpan w:val="3"/>
            <w:vMerge w:val="continue"/>
            <w:tcBorders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</w:p>
        </w:tc>
        <w:tc>
          <w:tcPr>
            <w:tcW w:w="605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417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周三</w:t>
            </w:r>
          </w:p>
        </w:tc>
        <w:tc>
          <w:tcPr>
            <w:tcW w:w="833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2521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在线课程：金融领域颠覆式创新</w:t>
            </w:r>
          </w:p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（人工智能、自动化、区块链）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48" w:type="pct"/>
        </w:trPr>
        <w:tc>
          <w:tcPr>
            <w:tcW w:w="576" w:type="pct"/>
            <w:gridSpan w:val="3"/>
            <w:vMerge w:val="continue"/>
            <w:tcBorders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</w:p>
        </w:tc>
        <w:tc>
          <w:tcPr>
            <w:tcW w:w="605" w:type="pct"/>
            <w:vMerge w:val="continue"/>
            <w:tcBorders>
              <w:left w:val="nil"/>
              <w:bottom w:val="single" w:color="8EAADB" w:themeColor="accent1" w:themeTint="99" w:sz="4" w:space="0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417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周五</w:t>
            </w:r>
          </w:p>
        </w:tc>
        <w:tc>
          <w:tcPr>
            <w:tcW w:w="833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2521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小组结业汇报展示</w:t>
            </w:r>
          </w:p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项目结业致辞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48" w:type="pct"/>
        </w:trPr>
        <w:tc>
          <w:tcPr>
            <w:tcW w:w="576" w:type="pct"/>
            <w:gridSpan w:val="3"/>
            <w:vMerge w:val="restart"/>
            <w:tcBorders>
              <w:top w:val="single" w:color="8EAADB" w:themeColor="accent1" w:themeTint="99" w:sz="4" w:space="0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第三周</w:t>
            </w:r>
          </w:p>
        </w:tc>
        <w:tc>
          <w:tcPr>
            <w:tcW w:w="605" w:type="pct"/>
            <w:vMerge w:val="restart"/>
            <w:tcBorders>
              <w:top w:val="single" w:color="8EAADB" w:themeColor="accent1" w:themeTint="99" w:sz="4" w:space="0"/>
              <w:left w:val="nil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创新管理</w:t>
            </w:r>
          </w:p>
        </w:tc>
        <w:tc>
          <w:tcPr>
            <w:tcW w:w="417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周一</w:t>
            </w:r>
          </w:p>
        </w:tc>
        <w:tc>
          <w:tcPr>
            <w:tcW w:w="833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2521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项目导览&amp;牛津欢迎致辞</w:t>
            </w:r>
          </w:p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</w:t>
            </w:r>
            <w:r>
              <w:rPr>
                <w:rFonts w:eastAsiaTheme="minorHAnsi"/>
                <w:b/>
                <w:bCs/>
                <w:sz w:val="23"/>
                <w:szCs w:val="23"/>
              </w:rPr>
              <w:t xml:space="preserve"> 21世纪领导力</w:t>
            </w:r>
          </w:p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发布小组结业题目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48" w:type="pct"/>
        </w:trPr>
        <w:tc>
          <w:tcPr>
            <w:tcW w:w="576" w:type="pct"/>
            <w:gridSpan w:val="3"/>
            <w:vMerge w:val="continue"/>
            <w:tcBorders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</w:p>
        </w:tc>
        <w:tc>
          <w:tcPr>
            <w:tcW w:w="605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417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周三</w:t>
            </w:r>
          </w:p>
        </w:tc>
        <w:tc>
          <w:tcPr>
            <w:tcW w:w="833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2521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在线课程：创新与创业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48" w:type="pct"/>
        </w:trPr>
        <w:tc>
          <w:tcPr>
            <w:tcW w:w="576" w:type="pct"/>
            <w:gridSpan w:val="3"/>
            <w:vMerge w:val="continue"/>
            <w:tcBorders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</w:p>
        </w:tc>
        <w:tc>
          <w:tcPr>
            <w:tcW w:w="605" w:type="pct"/>
            <w:vMerge w:val="continue"/>
            <w:tcBorders>
              <w:left w:val="nil"/>
              <w:bottom w:val="single" w:color="8EAADB" w:themeColor="accent1" w:themeTint="99" w:sz="4" w:space="0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417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周五</w:t>
            </w:r>
          </w:p>
        </w:tc>
        <w:tc>
          <w:tcPr>
            <w:tcW w:w="833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2521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</w:t>
            </w:r>
          </w:p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中欧关系与脱欧影响</w:t>
            </w:r>
          </w:p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中欧经济发展机遇与挑战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48" w:type="pct"/>
        </w:trPr>
        <w:tc>
          <w:tcPr>
            <w:tcW w:w="576" w:type="pct"/>
            <w:gridSpan w:val="3"/>
            <w:vMerge w:val="restart"/>
            <w:tcBorders>
              <w:top w:val="single" w:color="8EAADB" w:themeColor="accent1" w:themeTint="99" w:sz="4" w:space="0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第四周</w:t>
            </w:r>
          </w:p>
        </w:tc>
        <w:tc>
          <w:tcPr>
            <w:tcW w:w="605" w:type="pct"/>
            <w:vMerge w:val="restart"/>
            <w:tcBorders>
              <w:top w:val="single" w:color="8EAADB" w:themeColor="accent1" w:themeTint="99" w:sz="4" w:space="0"/>
              <w:left w:val="nil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国际经济</w:t>
            </w:r>
          </w:p>
        </w:tc>
        <w:tc>
          <w:tcPr>
            <w:tcW w:w="417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周一</w:t>
            </w:r>
          </w:p>
        </w:tc>
        <w:tc>
          <w:tcPr>
            <w:tcW w:w="833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2521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</w:t>
            </w:r>
            <w:r>
              <w:rPr>
                <w:rFonts w:eastAsiaTheme="minorHAnsi"/>
                <w:b/>
                <w:bCs/>
                <w:sz w:val="23"/>
                <w:szCs w:val="23"/>
              </w:rPr>
              <w:t>国际经济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48" w:type="pct"/>
        </w:trPr>
        <w:tc>
          <w:tcPr>
            <w:tcW w:w="576" w:type="pct"/>
            <w:gridSpan w:val="3"/>
            <w:vMerge w:val="continue"/>
            <w:tcBorders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</w:p>
        </w:tc>
        <w:tc>
          <w:tcPr>
            <w:tcW w:w="605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417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周三</w:t>
            </w:r>
          </w:p>
        </w:tc>
        <w:tc>
          <w:tcPr>
            <w:tcW w:w="833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2521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在线课程：博弈论（理论及案例分析）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48" w:type="pct"/>
        </w:trPr>
        <w:tc>
          <w:tcPr>
            <w:tcW w:w="576" w:type="pct"/>
            <w:gridSpan w:val="3"/>
            <w:vMerge w:val="continue"/>
            <w:tcBorders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</w:p>
        </w:tc>
        <w:tc>
          <w:tcPr>
            <w:tcW w:w="605" w:type="pct"/>
            <w:vMerge w:val="continue"/>
            <w:tcBorders>
              <w:left w:val="nil"/>
              <w:bottom w:val="single" w:color="8EAADB" w:themeColor="accent1" w:themeTint="99" w:sz="4" w:space="0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417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周五</w:t>
            </w:r>
          </w:p>
        </w:tc>
        <w:tc>
          <w:tcPr>
            <w:tcW w:w="833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2521" w:type="pct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小组结业汇报展示</w:t>
            </w:r>
          </w:p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项目结业致辞</w:t>
            </w:r>
          </w:p>
        </w:tc>
      </w:tr>
    </w:tbl>
    <w:p/>
    <w:p>
      <w:pPr>
        <w:widowControl/>
        <w:jc w:val="left"/>
        <w:rPr>
          <w:rFonts w:ascii="Arial" w:hAnsi="Arial" w:cs="Arial"/>
          <w:bCs/>
          <w:sz w:val="20"/>
          <w:szCs w:val="20"/>
        </w:rPr>
      </w:pPr>
      <w:r>
        <w:rPr>
          <w:rFonts w:hint="eastAsia" w:ascii="Arial" w:hAnsi="Arial" w:cs="Arial"/>
          <w:bCs/>
          <w:sz w:val="20"/>
          <w:szCs w:val="20"/>
        </w:rPr>
        <w:t>注：以上日程为往期范例，仅供参考，实际日程可能有调整，以最终项目安排为准。</w:t>
      </w:r>
    </w:p>
    <w:p>
      <w:pPr>
        <w:widowControl/>
        <w:jc w:val="left"/>
      </w:pPr>
      <w:r>
        <w:br w:type="page"/>
      </w:r>
    </w:p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751"/>
        <w:gridCol w:w="95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364" w:type="pct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rPr>
                <w:rFonts w:eastAsiaTheme="minorHAnsi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bookmarkStart w:id="7" w:name="_Hlk45010541"/>
            <w:r>
              <w:rPr>
                <w:rFonts w:eastAsiaTheme="minorHAnsi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drawing>
                <wp:inline distT="0" distB="0" distL="0" distR="0">
                  <wp:extent cx="287655" cy="287655"/>
                  <wp:effectExtent l="0" t="0" r="0" b="0"/>
                  <wp:docPr id="65" name="图形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形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pct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rPr>
                <w:rFonts w:eastAsiaTheme="minorHAnsi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eastAsiaTheme="minorHAnsi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课程主题2：</w:t>
            </w:r>
            <w:r>
              <w:rPr>
                <w:rFonts w:hint="eastAsia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人工智能与科技创新主题</w:t>
            </w:r>
          </w:p>
        </w:tc>
      </w:tr>
    </w:tbl>
    <w:p/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single" w:color="A7D1F5" w:sz="6" w:space="0"/>
          <w:right w:val="none" w:color="auto" w:sz="0" w:space="0"/>
          <w:insideH w:val="single" w:color="A7D1F5" w:sz="6" w:space="0"/>
          <w:insideV w:val="none" w:color="auto" w:sz="0" w:space="0"/>
        </w:tblBorders>
        <w:tblLayout w:type="autofit"/>
        <w:tblCellMar>
          <w:top w:w="57" w:type="dxa"/>
          <w:left w:w="57" w:type="dxa"/>
          <w:bottom w:w="57" w:type="dxa"/>
          <w:right w:w="57" w:type="dxa"/>
        </w:tblCellMar>
      </w:tblPr>
      <w:tblGrid>
        <w:gridCol w:w="1275"/>
        <w:gridCol w:w="1449"/>
        <w:gridCol w:w="1003"/>
        <w:gridCol w:w="1576"/>
        <w:gridCol w:w="5015"/>
      </w:tblGrid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1261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BDD6EE" w:themeFill="accent5" w:themeFillTint="66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#</w:t>
            </w:r>
          </w:p>
        </w:tc>
        <w:tc>
          <w:tcPr>
            <w:tcW w:w="1433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BDD6EE" w:themeFill="accent5" w:themeFillTint="66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课程模块</w:t>
            </w:r>
          </w:p>
        </w:tc>
        <w:tc>
          <w:tcPr>
            <w:tcW w:w="992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BDD6EE" w:themeFill="accent5" w:themeFillTint="66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日期</w:t>
            </w:r>
          </w:p>
        </w:tc>
        <w:tc>
          <w:tcPr>
            <w:tcW w:w="15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BDD6EE" w:themeFill="accent5" w:themeFillTint="66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时间</w:t>
            </w:r>
          </w:p>
        </w:tc>
        <w:tc>
          <w:tcPr>
            <w:tcW w:w="49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BDD6EE" w:themeFill="accent5" w:themeFillTint="66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课程大纲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1261" w:type="dxa"/>
            <w:vMerge w:val="restart"/>
            <w:tcBorders>
              <w:top w:val="single" w:color="8EAADB" w:themeColor="accent1" w:themeTint="99" w:sz="4" w:space="0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第一周</w:t>
            </w:r>
          </w:p>
        </w:tc>
        <w:tc>
          <w:tcPr>
            <w:tcW w:w="1433" w:type="dxa"/>
            <w:vMerge w:val="restart"/>
            <w:tcBorders>
              <w:top w:val="single" w:color="8EAADB" w:themeColor="accent1" w:themeTint="99" w:sz="4" w:space="0"/>
              <w:left w:val="nil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科技创新</w:t>
            </w:r>
          </w:p>
        </w:tc>
        <w:tc>
          <w:tcPr>
            <w:tcW w:w="992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周一</w:t>
            </w:r>
          </w:p>
        </w:tc>
        <w:tc>
          <w:tcPr>
            <w:tcW w:w="15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49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项目导览&amp;剑桥欢迎致辞</w:t>
            </w:r>
          </w:p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在线课程：剑桥高科技集群现象</w:t>
            </w:r>
          </w:p>
          <w:p>
            <w:pPr>
              <w:spacing w:line="288" w:lineRule="auto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发布小组结业题目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1261" w:type="dxa"/>
            <w:vMerge w:val="continue"/>
            <w:tcBorders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</w:p>
        </w:tc>
        <w:tc>
          <w:tcPr>
            <w:tcW w:w="1433" w:type="dxa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周三</w:t>
            </w:r>
          </w:p>
        </w:tc>
        <w:tc>
          <w:tcPr>
            <w:tcW w:w="15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49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在线课程：科技与创新管理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1261" w:type="dxa"/>
            <w:vMerge w:val="continue"/>
            <w:tcBorders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</w:p>
        </w:tc>
        <w:tc>
          <w:tcPr>
            <w:tcW w:w="1433" w:type="dxa"/>
            <w:vMerge w:val="continue"/>
            <w:tcBorders>
              <w:left w:val="nil"/>
              <w:bottom w:val="single" w:color="8EAADB" w:themeColor="accent1" w:themeTint="99" w:sz="4" w:space="0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周五</w:t>
            </w:r>
          </w:p>
        </w:tc>
        <w:tc>
          <w:tcPr>
            <w:tcW w:w="15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49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</w:t>
            </w:r>
            <w:r>
              <w:rPr>
                <w:rFonts w:eastAsiaTheme="minorHAnsi"/>
                <w:b/>
                <w:bCs/>
                <w:sz w:val="23"/>
                <w:szCs w:val="23"/>
              </w:rPr>
              <w:t>金融领域的颠覆式创新（人工智能、自动化、区块链技术）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1261" w:type="dxa"/>
            <w:vMerge w:val="restart"/>
            <w:tcBorders>
              <w:top w:val="single" w:color="8EAADB" w:themeColor="accent1" w:themeTint="99" w:sz="4" w:space="0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第二周</w:t>
            </w:r>
          </w:p>
        </w:tc>
        <w:tc>
          <w:tcPr>
            <w:tcW w:w="1433" w:type="dxa"/>
            <w:vMerge w:val="restart"/>
            <w:tcBorders>
              <w:top w:val="single" w:color="8EAADB" w:themeColor="accent1" w:themeTint="99" w:sz="4" w:space="0"/>
              <w:left w:val="nil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机器学习</w:t>
            </w:r>
          </w:p>
        </w:tc>
        <w:tc>
          <w:tcPr>
            <w:tcW w:w="992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周一</w:t>
            </w:r>
          </w:p>
        </w:tc>
        <w:tc>
          <w:tcPr>
            <w:tcW w:w="15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49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在线课程：机器在线学习导论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1261" w:type="dxa"/>
            <w:vMerge w:val="continue"/>
            <w:tcBorders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</w:p>
        </w:tc>
        <w:tc>
          <w:tcPr>
            <w:tcW w:w="1433" w:type="dxa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周三</w:t>
            </w:r>
          </w:p>
        </w:tc>
        <w:tc>
          <w:tcPr>
            <w:tcW w:w="15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49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</w:t>
            </w:r>
            <w:r>
              <w:rPr>
                <w:b/>
                <w:bCs/>
                <w:sz w:val="23"/>
                <w:szCs w:val="23"/>
              </w:rPr>
              <w:t>机器人最新机器学习技术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1261" w:type="dxa"/>
            <w:vMerge w:val="continue"/>
            <w:tcBorders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</w:p>
        </w:tc>
        <w:tc>
          <w:tcPr>
            <w:tcW w:w="1433" w:type="dxa"/>
            <w:vMerge w:val="continue"/>
            <w:tcBorders>
              <w:left w:val="nil"/>
              <w:bottom w:val="single" w:color="8EAADB" w:themeColor="accent1" w:themeTint="99" w:sz="4" w:space="0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周五</w:t>
            </w:r>
          </w:p>
        </w:tc>
        <w:tc>
          <w:tcPr>
            <w:tcW w:w="15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49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在线课程：人机系统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1261" w:type="dxa"/>
            <w:vMerge w:val="restart"/>
            <w:tcBorders>
              <w:top w:val="single" w:color="8EAADB" w:themeColor="accent1" w:themeTint="99" w:sz="4" w:space="0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第三周</w:t>
            </w:r>
          </w:p>
        </w:tc>
        <w:tc>
          <w:tcPr>
            <w:tcW w:w="1433" w:type="dxa"/>
            <w:vMerge w:val="restart"/>
            <w:tcBorders>
              <w:top w:val="single" w:color="8EAADB" w:themeColor="accent1" w:themeTint="99" w:sz="4" w:space="0"/>
              <w:left w:val="nil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人工智能Ⅰ</w:t>
            </w:r>
          </w:p>
        </w:tc>
        <w:tc>
          <w:tcPr>
            <w:tcW w:w="992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周一</w:t>
            </w:r>
          </w:p>
        </w:tc>
        <w:tc>
          <w:tcPr>
            <w:tcW w:w="15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49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项目导览&amp;牛津欢迎致辞</w:t>
            </w:r>
          </w:p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在线课程：人工智能导论</w:t>
            </w:r>
            <w:r>
              <w:rPr>
                <w:rFonts w:eastAsiaTheme="minorHAnsi"/>
                <w:b/>
                <w:bCs/>
                <w:sz w:val="23"/>
                <w:szCs w:val="23"/>
              </w:rPr>
              <w:t xml:space="preserve"> </w:t>
            </w:r>
          </w:p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发布小组结业题目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1261" w:type="dxa"/>
            <w:vMerge w:val="continue"/>
            <w:tcBorders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</w:p>
        </w:tc>
        <w:tc>
          <w:tcPr>
            <w:tcW w:w="1433" w:type="dxa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周三</w:t>
            </w:r>
          </w:p>
        </w:tc>
        <w:tc>
          <w:tcPr>
            <w:tcW w:w="15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49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在线课程：知识图和本体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1261" w:type="dxa"/>
            <w:vMerge w:val="continue"/>
            <w:tcBorders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</w:p>
        </w:tc>
        <w:tc>
          <w:tcPr>
            <w:tcW w:w="1433" w:type="dxa"/>
            <w:vMerge w:val="continue"/>
            <w:tcBorders>
              <w:left w:val="nil"/>
              <w:bottom w:val="single" w:color="8EAADB" w:themeColor="accent1" w:themeTint="99" w:sz="4" w:space="0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周五</w:t>
            </w:r>
          </w:p>
        </w:tc>
        <w:tc>
          <w:tcPr>
            <w:tcW w:w="15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49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在线课程：人工智能中的知识表示与智能推理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1261" w:type="dxa"/>
            <w:vMerge w:val="restart"/>
            <w:tcBorders>
              <w:top w:val="single" w:color="8EAADB" w:themeColor="accent1" w:themeTint="99" w:sz="4" w:space="0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第四周</w:t>
            </w:r>
          </w:p>
        </w:tc>
        <w:tc>
          <w:tcPr>
            <w:tcW w:w="1433" w:type="dxa"/>
            <w:vMerge w:val="restart"/>
            <w:tcBorders>
              <w:top w:val="single" w:color="8EAADB" w:themeColor="accent1" w:themeTint="99" w:sz="4" w:space="0"/>
              <w:left w:val="nil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人工智能Ⅱ</w:t>
            </w:r>
          </w:p>
        </w:tc>
        <w:tc>
          <w:tcPr>
            <w:tcW w:w="992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周一</w:t>
            </w:r>
          </w:p>
        </w:tc>
        <w:tc>
          <w:tcPr>
            <w:tcW w:w="15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49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在线课程：博弈论与计算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1261" w:type="dxa"/>
            <w:vMerge w:val="continue"/>
            <w:tcBorders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</w:p>
        </w:tc>
        <w:tc>
          <w:tcPr>
            <w:tcW w:w="1433" w:type="dxa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周三</w:t>
            </w:r>
          </w:p>
        </w:tc>
        <w:tc>
          <w:tcPr>
            <w:tcW w:w="15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49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在线课程：公平分配</w:t>
            </w:r>
            <w:r>
              <w:rPr>
                <w:rFonts w:eastAsiaTheme="minorHAnsi"/>
                <w:b/>
                <w:bCs/>
                <w:sz w:val="23"/>
                <w:szCs w:val="23"/>
              </w:rPr>
              <w:t>的AI方法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7D1F5" w:sz="6" w:space="0"/>
            <w:right w:val="none" w:color="auto" w:sz="0" w:space="0"/>
            <w:insideH w:val="single" w:color="A7D1F5" w:sz="6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1261" w:type="dxa"/>
            <w:vMerge w:val="continue"/>
            <w:tcBorders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b/>
                <w:bCs/>
                <w:sz w:val="23"/>
                <w:szCs w:val="23"/>
              </w:rPr>
            </w:pPr>
          </w:p>
        </w:tc>
        <w:tc>
          <w:tcPr>
            <w:tcW w:w="1433" w:type="dxa"/>
            <w:vMerge w:val="continue"/>
            <w:tcBorders>
              <w:left w:val="nil"/>
              <w:bottom w:val="single" w:color="8EAADB" w:themeColor="accent1" w:themeTint="99" w:sz="4" w:space="0"/>
              <w:right w:val="nil"/>
            </w:tcBorders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hint="eastAsia" w:eastAsiaTheme="minorHAnsi"/>
                <w:sz w:val="23"/>
                <w:szCs w:val="23"/>
              </w:rPr>
              <w:t>周五</w:t>
            </w:r>
          </w:p>
        </w:tc>
        <w:tc>
          <w:tcPr>
            <w:tcW w:w="15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17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00-19</w:t>
            </w:r>
            <w:r>
              <w:rPr>
                <w:rFonts w:hint="eastAsia" w:eastAsiaTheme="minorHAnsi"/>
                <w:sz w:val="23"/>
                <w:szCs w:val="23"/>
              </w:rPr>
              <w:t>:</w:t>
            </w:r>
            <w:r>
              <w:rPr>
                <w:rFonts w:eastAsiaTheme="minorHAnsi"/>
                <w:sz w:val="23"/>
                <w:szCs w:val="23"/>
              </w:rPr>
              <w:t>00</w:t>
            </w:r>
          </w:p>
        </w:tc>
        <w:tc>
          <w:tcPr>
            <w:tcW w:w="4959" w:type="dxa"/>
            <w:tcBorders>
              <w:top w:val="single" w:color="8EAADB" w:themeColor="accent1" w:themeTint="99" w:sz="4" w:space="0"/>
              <w:left w:val="nil"/>
              <w:bottom w:val="single" w:color="8EAADB" w:themeColor="accent1" w:themeTint="99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小组结业汇报展示</w:t>
            </w:r>
          </w:p>
          <w:p>
            <w:pPr>
              <w:spacing w:line="288" w:lineRule="auto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hint="eastAsia" w:eastAsiaTheme="minorHAnsi"/>
                <w:b/>
                <w:bCs/>
                <w:sz w:val="23"/>
                <w:szCs w:val="23"/>
              </w:rPr>
              <w:t>项目结业致辞</w:t>
            </w:r>
          </w:p>
        </w:tc>
      </w:tr>
    </w:tbl>
    <w:p>
      <w:pPr>
        <w:widowControl/>
        <w:jc w:val="left"/>
        <w:rPr>
          <w:rFonts w:ascii="Arial" w:hAnsi="Arial" w:cs="Arial"/>
          <w:bCs/>
          <w:sz w:val="20"/>
          <w:szCs w:val="20"/>
        </w:rPr>
      </w:pPr>
    </w:p>
    <w:p>
      <w:pPr>
        <w:widowControl/>
        <w:jc w:val="left"/>
        <w:rPr>
          <w:rFonts w:ascii="Arial" w:hAnsi="Arial" w:cs="Arial"/>
          <w:bCs/>
          <w:sz w:val="20"/>
          <w:szCs w:val="20"/>
        </w:rPr>
      </w:pPr>
      <w:r>
        <w:rPr>
          <w:rFonts w:hint="eastAsia" w:ascii="Arial" w:hAnsi="Arial" w:cs="Arial"/>
          <w:bCs/>
          <w:sz w:val="20"/>
          <w:szCs w:val="20"/>
        </w:rPr>
        <w:t>注：以上日程为往期范例，仅供参考，实际日程可能有调整，以最终项目安排为准。</w:t>
      </w:r>
      <w:bookmarkEnd w:id="6"/>
      <w:bookmarkEnd w:id="7"/>
    </w:p>
    <w:sectPr>
      <w:footerReference r:id="rId3" w:type="default"/>
      <w:pgSz w:w="11906" w:h="16838"/>
      <w:pgMar w:top="851" w:right="851" w:bottom="851" w:left="851" w:header="851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b/>
        <w:bCs/>
        <w:color w:val="0071BC"/>
      </w:rPr>
      <w:id w:val="184331246"/>
      <w:docPartObj>
        <w:docPartGallery w:val="AutoText"/>
      </w:docPartObj>
    </w:sdtPr>
    <w:sdtEndPr>
      <w:rPr>
        <w:b/>
        <w:bCs/>
        <w:color w:val="0071BC"/>
        <w:sz w:val="20"/>
        <w:szCs w:val="20"/>
      </w:rPr>
    </w:sdtEndPr>
    <w:sdtContent>
      <w:p>
        <w:pPr>
          <w:pStyle w:val="2"/>
          <w:jc w:val="right"/>
          <w:rPr>
            <w:b/>
            <w:bCs/>
            <w:color w:val="0071BC"/>
            <w:sz w:val="20"/>
            <w:szCs w:val="20"/>
          </w:rPr>
        </w:pPr>
        <w:r>
          <w:rPr>
            <w:b/>
            <w:bCs/>
            <w:color w:val="0071BC"/>
            <w:sz w:val="20"/>
            <w:szCs w:val="20"/>
          </w:rPr>
          <w:fldChar w:fldCharType="begin"/>
        </w:r>
        <w:r>
          <w:rPr>
            <w:b/>
            <w:bCs/>
            <w:color w:val="0071BC"/>
            <w:sz w:val="20"/>
            <w:szCs w:val="20"/>
          </w:rPr>
          <w:instrText xml:space="preserve">PAGE   \* MERGEFORMAT</w:instrText>
        </w:r>
        <w:r>
          <w:rPr>
            <w:b/>
            <w:bCs/>
            <w:color w:val="0071BC"/>
            <w:sz w:val="20"/>
            <w:szCs w:val="20"/>
          </w:rPr>
          <w:fldChar w:fldCharType="separate"/>
        </w:r>
        <w:r>
          <w:rPr>
            <w:b/>
            <w:bCs/>
            <w:color w:val="0071BC"/>
            <w:sz w:val="20"/>
            <w:szCs w:val="20"/>
            <w:lang w:val="zh-CN"/>
          </w:rPr>
          <w:t>2</w:t>
        </w:r>
        <w:r>
          <w:rPr>
            <w:b/>
            <w:bCs/>
            <w:color w:val="0071BC"/>
            <w:sz w:val="20"/>
            <w:szCs w:val="20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F2236"/>
    <w:multiLevelType w:val="multilevel"/>
    <w:tmpl w:val="146F2236"/>
    <w:lvl w:ilvl="0" w:tentative="0">
      <w:start w:val="1"/>
      <w:numFmt w:val="bullet"/>
      <w:lvlText w:val=""/>
      <w:lvlJc w:val="left"/>
      <w:pPr>
        <w:ind w:left="284" w:hanging="284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69C0822"/>
    <w:multiLevelType w:val="multilevel"/>
    <w:tmpl w:val="469C0822"/>
    <w:lvl w:ilvl="0" w:tentative="0">
      <w:start w:val="1"/>
      <w:numFmt w:val="bullet"/>
      <w:lvlText w:val="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80D57EA"/>
    <w:multiLevelType w:val="multilevel"/>
    <w:tmpl w:val="780D57EA"/>
    <w:lvl w:ilvl="0" w:tentative="0">
      <w:start w:val="1"/>
      <w:numFmt w:val="bullet"/>
      <w:lvlText w:val="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E70"/>
    <w:rsid w:val="00000BD8"/>
    <w:rsid w:val="00001591"/>
    <w:rsid w:val="00020B39"/>
    <w:rsid w:val="00023F1E"/>
    <w:rsid w:val="000478BC"/>
    <w:rsid w:val="000555D8"/>
    <w:rsid w:val="00057A8D"/>
    <w:rsid w:val="00064A2D"/>
    <w:rsid w:val="000679FF"/>
    <w:rsid w:val="00070932"/>
    <w:rsid w:val="00082B64"/>
    <w:rsid w:val="00085D80"/>
    <w:rsid w:val="0008638C"/>
    <w:rsid w:val="000978E3"/>
    <w:rsid w:val="000B73C4"/>
    <w:rsid w:val="000C65AE"/>
    <w:rsid w:val="000C7454"/>
    <w:rsid w:val="000D15AA"/>
    <w:rsid w:val="000E4E67"/>
    <w:rsid w:val="000F60D9"/>
    <w:rsid w:val="00105F1A"/>
    <w:rsid w:val="0010614C"/>
    <w:rsid w:val="00107E90"/>
    <w:rsid w:val="00111EDB"/>
    <w:rsid w:val="00115213"/>
    <w:rsid w:val="00117628"/>
    <w:rsid w:val="001251F3"/>
    <w:rsid w:val="00131846"/>
    <w:rsid w:val="00136A9A"/>
    <w:rsid w:val="001513EB"/>
    <w:rsid w:val="00153219"/>
    <w:rsid w:val="0018166D"/>
    <w:rsid w:val="00186643"/>
    <w:rsid w:val="00191A98"/>
    <w:rsid w:val="00193FEE"/>
    <w:rsid w:val="001A05DC"/>
    <w:rsid w:val="001C2314"/>
    <w:rsid w:val="001E2F17"/>
    <w:rsid w:val="001E3E9D"/>
    <w:rsid w:val="001F39FA"/>
    <w:rsid w:val="00200355"/>
    <w:rsid w:val="00210686"/>
    <w:rsid w:val="002124C5"/>
    <w:rsid w:val="00213ED2"/>
    <w:rsid w:val="00215EBE"/>
    <w:rsid w:val="0021637B"/>
    <w:rsid w:val="002206A2"/>
    <w:rsid w:val="00221190"/>
    <w:rsid w:val="002214A3"/>
    <w:rsid w:val="0022497D"/>
    <w:rsid w:val="00225664"/>
    <w:rsid w:val="00232DA6"/>
    <w:rsid w:val="00240669"/>
    <w:rsid w:val="00256F3A"/>
    <w:rsid w:val="002571CD"/>
    <w:rsid w:val="002642CF"/>
    <w:rsid w:val="002726E3"/>
    <w:rsid w:val="00273012"/>
    <w:rsid w:val="00281C55"/>
    <w:rsid w:val="00292735"/>
    <w:rsid w:val="00292824"/>
    <w:rsid w:val="00292B9E"/>
    <w:rsid w:val="00295D89"/>
    <w:rsid w:val="002A5616"/>
    <w:rsid w:val="002B2BE9"/>
    <w:rsid w:val="002D0C5E"/>
    <w:rsid w:val="002E5961"/>
    <w:rsid w:val="002F283F"/>
    <w:rsid w:val="003022CF"/>
    <w:rsid w:val="003124C6"/>
    <w:rsid w:val="003228B3"/>
    <w:rsid w:val="00332A19"/>
    <w:rsid w:val="00332DBD"/>
    <w:rsid w:val="00340A36"/>
    <w:rsid w:val="003413FA"/>
    <w:rsid w:val="00353204"/>
    <w:rsid w:val="0036563E"/>
    <w:rsid w:val="003904B4"/>
    <w:rsid w:val="003907AE"/>
    <w:rsid w:val="00390BA2"/>
    <w:rsid w:val="003A58F7"/>
    <w:rsid w:val="003B1EA7"/>
    <w:rsid w:val="003B4449"/>
    <w:rsid w:val="003C0366"/>
    <w:rsid w:val="003C05A1"/>
    <w:rsid w:val="003C2BCE"/>
    <w:rsid w:val="003D0FB0"/>
    <w:rsid w:val="003E5FDE"/>
    <w:rsid w:val="004170B6"/>
    <w:rsid w:val="004254EB"/>
    <w:rsid w:val="00443581"/>
    <w:rsid w:val="004804C9"/>
    <w:rsid w:val="004A6065"/>
    <w:rsid w:val="004D3BC7"/>
    <w:rsid w:val="004D3DB6"/>
    <w:rsid w:val="004D5820"/>
    <w:rsid w:val="004D7717"/>
    <w:rsid w:val="004E2CAA"/>
    <w:rsid w:val="004E56B1"/>
    <w:rsid w:val="004E56EF"/>
    <w:rsid w:val="004E6E92"/>
    <w:rsid w:val="005001A1"/>
    <w:rsid w:val="00502B4B"/>
    <w:rsid w:val="005124D4"/>
    <w:rsid w:val="00522B8A"/>
    <w:rsid w:val="0054547A"/>
    <w:rsid w:val="005469C1"/>
    <w:rsid w:val="0054754B"/>
    <w:rsid w:val="00564404"/>
    <w:rsid w:val="00575F8C"/>
    <w:rsid w:val="00590B8D"/>
    <w:rsid w:val="005C0D37"/>
    <w:rsid w:val="005F2F7B"/>
    <w:rsid w:val="005F3B10"/>
    <w:rsid w:val="005F4E70"/>
    <w:rsid w:val="00602EBD"/>
    <w:rsid w:val="0062602D"/>
    <w:rsid w:val="006351AF"/>
    <w:rsid w:val="00643AAC"/>
    <w:rsid w:val="00644747"/>
    <w:rsid w:val="00644869"/>
    <w:rsid w:val="0064604C"/>
    <w:rsid w:val="00654642"/>
    <w:rsid w:val="00675B21"/>
    <w:rsid w:val="00681F1E"/>
    <w:rsid w:val="00683953"/>
    <w:rsid w:val="0068503B"/>
    <w:rsid w:val="006A0C3C"/>
    <w:rsid w:val="006A2025"/>
    <w:rsid w:val="006B25E1"/>
    <w:rsid w:val="006B51D2"/>
    <w:rsid w:val="006C73C0"/>
    <w:rsid w:val="006D5269"/>
    <w:rsid w:val="006E58EA"/>
    <w:rsid w:val="00724571"/>
    <w:rsid w:val="00726669"/>
    <w:rsid w:val="007327E0"/>
    <w:rsid w:val="00744747"/>
    <w:rsid w:val="007620B4"/>
    <w:rsid w:val="007623C6"/>
    <w:rsid w:val="007A1944"/>
    <w:rsid w:val="007A78B8"/>
    <w:rsid w:val="007C5EBF"/>
    <w:rsid w:val="007D5085"/>
    <w:rsid w:val="007E1EAA"/>
    <w:rsid w:val="007E41B9"/>
    <w:rsid w:val="007F29F5"/>
    <w:rsid w:val="007F2ABE"/>
    <w:rsid w:val="007F68F5"/>
    <w:rsid w:val="00806921"/>
    <w:rsid w:val="008218CF"/>
    <w:rsid w:val="00822119"/>
    <w:rsid w:val="008239F7"/>
    <w:rsid w:val="00831D36"/>
    <w:rsid w:val="0083222A"/>
    <w:rsid w:val="00852F22"/>
    <w:rsid w:val="008542CA"/>
    <w:rsid w:val="00875215"/>
    <w:rsid w:val="008A67FF"/>
    <w:rsid w:val="008B3E56"/>
    <w:rsid w:val="008C17C6"/>
    <w:rsid w:val="008D0BB8"/>
    <w:rsid w:val="008D3CFA"/>
    <w:rsid w:val="008D4031"/>
    <w:rsid w:val="008E7582"/>
    <w:rsid w:val="0090455F"/>
    <w:rsid w:val="0092685E"/>
    <w:rsid w:val="00931A2C"/>
    <w:rsid w:val="0093751A"/>
    <w:rsid w:val="00951CA0"/>
    <w:rsid w:val="0096371F"/>
    <w:rsid w:val="0096471E"/>
    <w:rsid w:val="009647BD"/>
    <w:rsid w:val="00966C1D"/>
    <w:rsid w:val="009704F5"/>
    <w:rsid w:val="00981768"/>
    <w:rsid w:val="00985EE5"/>
    <w:rsid w:val="00993BE5"/>
    <w:rsid w:val="00994B0C"/>
    <w:rsid w:val="0099619D"/>
    <w:rsid w:val="00997736"/>
    <w:rsid w:val="009A3890"/>
    <w:rsid w:val="009A581F"/>
    <w:rsid w:val="009B5440"/>
    <w:rsid w:val="009C0CF6"/>
    <w:rsid w:val="009C4A68"/>
    <w:rsid w:val="009C5DFC"/>
    <w:rsid w:val="009E19ED"/>
    <w:rsid w:val="009E4915"/>
    <w:rsid w:val="00A15F0C"/>
    <w:rsid w:val="00A533A8"/>
    <w:rsid w:val="00A63B26"/>
    <w:rsid w:val="00A92C45"/>
    <w:rsid w:val="00A95AF7"/>
    <w:rsid w:val="00AB0510"/>
    <w:rsid w:val="00AB583B"/>
    <w:rsid w:val="00AB682F"/>
    <w:rsid w:val="00AC336F"/>
    <w:rsid w:val="00AC44AD"/>
    <w:rsid w:val="00AD104B"/>
    <w:rsid w:val="00AF3162"/>
    <w:rsid w:val="00AF660E"/>
    <w:rsid w:val="00B02453"/>
    <w:rsid w:val="00B05165"/>
    <w:rsid w:val="00B23D99"/>
    <w:rsid w:val="00B26EC7"/>
    <w:rsid w:val="00B27815"/>
    <w:rsid w:val="00B33F05"/>
    <w:rsid w:val="00B34B14"/>
    <w:rsid w:val="00B37A74"/>
    <w:rsid w:val="00B40904"/>
    <w:rsid w:val="00B536B8"/>
    <w:rsid w:val="00B60BF3"/>
    <w:rsid w:val="00B62418"/>
    <w:rsid w:val="00B73FDC"/>
    <w:rsid w:val="00B7750D"/>
    <w:rsid w:val="00B87F88"/>
    <w:rsid w:val="00BA4B6A"/>
    <w:rsid w:val="00BA67EF"/>
    <w:rsid w:val="00BB6C8E"/>
    <w:rsid w:val="00BC2910"/>
    <w:rsid w:val="00BC5760"/>
    <w:rsid w:val="00BC66DF"/>
    <w:rsid w:val="00BD0A3B"/>
    <w:rsid w:val="00BE6B2B"/>
    <w:rsid w:val="00C106BA"/>
    <w:rsid w:val="00C12B3B"/>
    <w:rsid w:val="00C3088B"/>
    <w:rsid w:val="00C4760A"/>
    <w:rsid w:val="00C57162"/>
    <w:rsid w:val="00C641DA"/>
    <w:rsid w:val="00C70C10"/>
    <w:rsid w:val="00C70E43"/>
    <w:rsid w:val="00C77CF0"/>
    <w:rsid w:val="00CA18C6"/>
    <w:rsid w:val="00CA6593"/>
    <w:rsid w:val="00CB1CB8"/>
    <w:rsid w:val="00CC1100"/>
    <w:rsid w:val="00CC16D3"/>
    <w:rsid w:val="00CC5B6E"/>
    <w:rsid w:val="00CC7408"/>
    <w:rsid w:val="00CD011C"/>
    <w:rsid w:val="00CE2660"/>
    <w:rsid w:val="00CF3B4B"/>
    <w:rsid w:val="00CF69FF"/>
    <w:rsid w:val="00D12EBE"/>
    <w:rsid w:val="00D342E7"/>
    <w:rsid w:val="00D45B6A"/>
    <w:rsid w:val="00D506DA"/>
    <w:rsid w:val="00D50C1C"/>
    <w:rsid w:val="00D52730"/>
    <w:rsid w:val="00D53A07"/>
    <w:rsid w:val="00D71831"/>
    <w:rsid w:val="00D744E9"/>
    <w:rsid w:val="00D8087C"/>
    <w:rsid w:val="00D85BA7"/>
    <w:rsid w:val="00D94D30"/>
    <w:rsid w:val="00D96A1C"/>
    <w:rsid w:val="00DA03A8"/>
    <w:rsid w:val="00DA09CF"/>
    <w:rsid w:val="00DA5340"/>
    <w:rsid w:val="00DB3E55"/>
    <w:rsid w:val="00DB6C7D"/>
    <w:rsid w:val="00DC1E73"/>
    <w:rsid w:val="00DD2F5E"/>
    <w:rsid w:val="00DF23AD"/>
    <w:rsid w:val="00DF44FE"/>
    <w:rsid w:val="00E02576"/>
    <w:rsid w:val="00E04E39"/>
    <w:rsid w:val="00E2334E"/>
    <w:rsid w:val="00E442D5"/>
    <w:rsid w:val="00E511B9"/>
    <w:rsid w:val="00E538D3"/>
    <w:rsid w:val="00E62345"/>
    <w:rsid w:val="00E65972"/>
    <w:rsid w:val="00E675A7"/>
    <w:rsid w:val="00E75AAB"/>
    <w:rsid w:val="00EB37E6"/>
    <w:rsid w:val="00EC3AB1"/>
    <w:rsid w:val="00EE1F8D"/>
    <w:rsid w:val="00EF06FB"/>
    <w:rsid w:val="00F12A8B"/>
    <w:rsid w:val="00F152C7"/>
    <w:rsid w:val="00F25F69"/>
    <w:rsid w:val="00F30AC0"/>
    <w:rsid w:val="00F3316E"/>
    <w:rsid w:val="00F34280"/>
    <w:rsid w:val="00F352F6"/>
    <w:rsid w:val="00F3713E"/>
    <w:rsid w:val="00F41BCA"/>
    <w:rsid w:val="00F4288D"/>
    <w:rsid w:val="00F51B4D"/>
    <w:rsid w:val="00F65BC8"/>
    <w:rsid w:val="00F6639E"/>
    <w:rsid w:val="00F72CE3"/>
    <w:rsid w:val="00F73B38"/>
    <w:rsid w:val="00F757A3"/>
    <w:rsid w:val="00F82D5F"/>
    <w:rsid w:val="00F852E2"/>
    <w:rsid w:val="00F85D15"/>
    <w:rsid w:val="00F94592"/>
    <w:rsid w:val="00F955CD"/>
    <w:rsid w:val="00FA1B4A"/>
    <w:rsid w:val="00FB4326"/>
    <w:rsid w:val="00FC2E66"/>
    <w:rsid w:val="00FC6187"/>
    <w:rsid w:val="00FD0E6A"/>
    <w:rsid w:val="00FD2E3E"/>
    <w:rsid w:val="00FE2BD4"/>
    <w:rsid w:val="00FF562F"/>
    <w:rsid w:val="00FF5B66"/>
    <w:rsid w:val="3555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FollowedHyperlink"/>
    <w:basedOn w:val="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2"/>
    <w:uiPriority w:val="99"/>
    <w:rPr>
      <w:sz w:val="18"/>
      <w:szCs w:val="18"/>
    </w:rPr>
  </w:style>
  <w:style w:type="character" w:customStyle="1" w:styleId="13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4">
    <w:name w:val="列出段落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sv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sv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5.xml"/><Relationship Id="rId27" Type="http://schemas.openxmlformats.org/officeDocument/2006/relationships/customXml" Target="../customXml/item4.xml"/><Relationship Id="rId26" Type="http://schemas.openxmlformats.org/officeDocument/2006/relationships/customXml" Target="../customXml/item3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6.sv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5.svg"/><Relationship Id="rId14" Type="http://schemas.openxmlformats.org/officeDocument/2006/relationships/image" Target="media/image6.png"/><Relationship Id="rId13" Type="http://schemas.openxmlformats.org/officeDocument/2006/relationships/image" Target="media/image4.svg"/><Relationship Id="rId12" Type="http://schemas.openxmlformats.org/officeDocument/2006/relationships/image" Target="media/image5.png"/><Relationship Id="rId11" Type="http://schemas.openxmlformats.org/officeDocument/2006/relationships/image" Target="media/image3.sv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4968C5131BD64282F601B919BCC962" ma:contentTypeVersion="12" ma:contentTypeDescription="Create a new document." ma:contentTypeScope="" ma:versionID="d19c7d1005972da5c0e5088b2aeec31c">
  <xsd:schema xmlns:xsd="http://www.w3.org/2001/XMLSchema" xmlns:xs="http://www.w3.org/2001/XMLSchema" xmlns:p="http://schemas.microsoft.com/office/2006/metadata/properties" xmlns:ns2="d053a900-991e-44fb-bd96-845800de57ba" xmlns:ns3="61eabe94-e822-4599-ba9c-e79658d81471" targetNamespace="http://schemas.microsoft.com/office/2006/metadata/properties" ma:root="true" ma:fieldsID="035d12338056179970c886d579f8131a" ns2:_="" ns3:_="">
    <xsd:import namespace="d053a900-991e-44fb-bd96-845800de57ba"/>
    <xsd:import namespace="61eabe94-e822-4599-ba9c-e79658d814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3a900-991e-44fb-bd96-845800de57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abe94-e822-4599-ba9c-e79658d8147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73CC2F-0B0D-417C-85CE-34BF68960DA7}">
  <ds:schemaRefs/>
</ds:datastoreItem>
</file>

<file path=customXml/itemProps3.xml><?xml version="1.0" encoding="utf-8"?>
<ds:datastoreItem xmlns:ds="http://schemas.openxmlformats.org/officeDocument/2006/customXml" ds:itemID="{1C124A6D-6422-4994-B779-6E4F40FFA210}">
  <ds:schemaRefs/>
</ds:datastoreItem>
</file>

<file path=customXml/itemProps4.xml><?xml version="1.0" encoding="utf-8"?>
<ds:datastoreItem xmlns:ds="http://schemas.openxmlformats.org/officeDocument/2006/customXml" ds:itemID="{79A43BE5-7362-4552-944E-B36A0C72B1B3}">
  <ds:schemaRefs/>
</ds:datastoreItem>
</file>

<file path=customXml/itemProps5.xml><?xml version="1.0" encoding="utf-8"?>
<ds:datastoreItem xmlns:ds="http://schemas.openxmlformats.org/officeDocument/2006/customXml" ds:itemID="{8DED6C32-937E-48F8-A709-5ADAF077DE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582</Words>
  <Characters>3319</Characters>
  <Lines>27</Lines>
  <Paragraphs>7</Paragraphs>
  <TotalTime>0</TotalTime>
  <ScaleCrop>false</ScaleCrop>
  <LinksUpToDate>false</LinksUpToDate>
  <CharactersWithSpaces>3894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2020-03-03T08:11:00Z</dcterms:created>
  <dc:creator>Cang Kevin</dc:creator>
  <cp:lastModifiedBy>sunny李</cp:lastModifiedBy>
  <cp:lastPrinted>2020-07-04T12:49:00Z</cp:lastPrinted>
  <dcterms:modified xsi:type="dcterms:W3CDTF">2020-07-10T04:39:42Z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0x0101001A4968C5131BD64282F601B919BCC962</vt:lpwstr>
  </property>
  <property fmtid="{D5CDD505-2E9C-101B-9397-08002B2CF9AE}" pid="3" name="KSOProductBuildVer">
    <vt:lpwstr>2052-11.1.0.9740</vt:lpwstr>
  </property>
</Properties>
</file>