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A80A" w14:textId="2E61095D" w:rsidR="007F0053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14:paraId="0A645B55" w14:textId="18748EFD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C54553">
        <w:rPr>
          <w:rFonts w:ascii="仿宋" w:eastAsia="仿宋" w:hAnsi="仿宋"/>
          <w:sz w:val="28"/>
          <w:szCs w:val="28"/>
        </w:rPr>
        <w:t>CMEETC-248FR369DD104</w:t>
      </w:r>
    </w:p>
    <w:p w14:paraId="47107B3C" w14:textId="3134C99E" w:rsidR="007F0053" w:rsidRDefault="00000000">
      <w:pPr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54553">
        <w:rPr>
          <w:rFonts w:ascii="仿宋" w:eastAsia="仿宋" w:hAnsi="仿宋" w:hint="eastAsia"/>
          <w:sz w:val="28"/>
          <w:szCs w:val="28"/>
        </w:rPr>
        <w:t>中国劳动关系学院专项资产清查</w:t>
      </w:r>
    </w:p>
    <w:p w14:paraId="5E547ED8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6A92FA56" w14:textId="46B269EB" w:rsidR="007F0053" w:rsidRPr="00B332F6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C54553" w:rsidRPr="00C54553">
        <w:rPr>
          <w:rFonts w:ascii="仿宋" w:eastAsia="仿宋" w:hAnsi="仿宋" w:hint="eastAsia"/>
          <w:sz w:val="28"/>
          <w:szCs w:val="28"/>
        </w:rPr>
        <w:t>北京兴华会计师事务所（特殊普通合伙）</w:t>
      </w:r>
    </w:p>
    <w:p w14:paraId="239A953A" w14:textId="3EF48AC3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B332F6" w:rsidRPr="00B332F6">
        <w:rPr>
          <w:rFonts w:ascii="仿宋" w:eastAsia="仿宋" w:hAnsi="仿宋" w:hint="eastAsia"/>
          <w:sz w:val="28"/>
          <w:szCs w:val="28"/>
        </w:rPr>
        <w:t>北京市</w:t>
      </w:r>
      <w:r w:rsidR="00C54553">
        <w:rPr>
          <w:rFonts w:ascii="仿宋" w:eastAsia="仿宋" w:hAnsi="仿宋" w:hint="eastAsia"/>
          <w:sz w:val="28"/>
          <w:szCs w:val="28"/>
        </w:rPr>
        <w:t>西城区裕民路18号2206房间</w:t>
      </w:r>
    </w:p>
    <w:p w14:paraId="7C5B9FB1" w14:textId="05C2E89A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C54553" w:rsidRPr="00C54553">
        <w:rPr>
          <w:rFonts w:ascii="仿宋" w:eastAsia="仿宋" w:hAnsi="仿宋"/>
          <w:sz w:val="28"/>
          <w:szCs w:val="28"/>
        </w:rPr>
        <w:t>345,000.00</w:t>
      </w:r>
      <w:r w:rsidR="00B332F6">
        <w:rPr>
          <w:rFonts w:ascii="仿宋" w:eastAsia="仿宋" w:hAnsi="仿宋" w:hint="eastAsia"/>
          <w:sz w:val="28"/>
          <w:szCs w:val="28"/>
        </w:rPr>
        <w:t>元</w:t>
      </w:r>
    </w:p>
    <w:p w14:paraId="620A5065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1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B332F6" w14:paraId="3C06EE2A" w14:textId="77777777" w:rsidTr="00B332F6">
        <w:tc>
          <w:tcPr>
            <w:tcW w:w="8472" w:type="dxa"/>
          </w:tcPr>
          <w:p w14:paraId="65BC6DF8" w14:textId="77777777" w:rsidR="00B332F6" w:rsidRDefault="00B332F6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B332F6" w14:paraId="7BC17A17" w14:textId="77777777" w:rsidTr="00B332F6">
        <w:tc>
          <w:tcPr>
            <w:tcW w:w="8472" w:type="dxa"/>
          </w:tcPr>
          <w:p w14:paraId="73270D02" w14:textId="759DE238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C54553">
              <w:rPr>
                <w:rFonts w:ascii="仿宋" w:eastAsia="仿宋" w:hAnsi="仿宋" w:hint="eastAsia"/>
                <w:sz w:val="28"/>
                <w:szCs w:val="28"/>
              </w:rPr>
              <w:t>中国劳动关系学院专项资产清查</w:t>
            </w:r>
          </w:p>
          <w:p w14:paraId="3C2AEA95" w14:textId="23A5B7F0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  <w:r w:rsidR="00C54553">
              <w:rPr>
                <w:rFonts w:ascii="仿宋" w:eastAsia="仿宋" w:hAnsi="仿宋" w:hint="eastAsia"/>
                <w:sz w:val="28"/>
                <w:szCs w:val="28"/>
              </w:rPr>
              <w:t>对中国劳动关系学院全部固定资产及无形资产，中国劳动关系学院房产使用情况开展资产清查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，详见</w:t>
            </w:r>
            <w:r w:rsidR="00C54553">
              <w:rPr>
                <w:rFonts w:ascii="仿宋" w:eastAsia="仿宋" w:hAnsi="仿宋" w:hint="eastAsia"/>
                <w:kern w:val="0"/>
                <w:sz w:val="28"/>
                <w:szCs w:val="28"/>
              </w:rPr>
              <w:t>竞争性磋商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文件。</w:t>
            </w:r>
          </w:p>
          <w:p w14:paraId="5576336A" w14:textId="7EC76453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服务要求：详见</w:t>
            </w:r>
            <w:r w:rsidR="00C54553">
              <w:rPr>
                <w:rFonts w:ascii="仿宋" w:eastAsia="仿宋" w:hAnsi="仿宋" w:hint="eastAsia"/>
                <w:kern w:val="0"/>
                <w:sz w:val="28"/>
                <w:szCs w:val="28"/>
              </w:rPr>
              <w:t>竞争性磋商文件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  <w:p w14:paraId="329F48D1" w14:textId="15086C3F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  <w:r w:rsidR="00C54553">
              <w:rPr>
                <w:rFonts w:ascii="仿宋" w:eastAsia="仿宋" w:hAnsi="仿宋" w:hint="eastAsia"/>
                <w:sz w:val="28"/>
                <w:szCs w:val="28"/>
              </w:rPr>
              <w:t>签订合同之日起至2024年10月30日前完成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3B95591" w14:textId="12A4E80D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服务标准：详见</w:t>
            </w:r>
            <w:r w:rsidR="00C54553">
              <w:rPr>
                <w:rFonts w:ascii="仿宋" w:eastAsia="仿宋" w:hAnsi="仿宋" w:hint="eastAsia"/>
                <w:kern w:val="0"/>
                <w:sz w:val="28"/>
                <w:szCs w:val="28"/>
              </w:rPr>
              <w:t>竞争性磋商文件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4875BEA3" w14:textId="47505332" w:rsidR="007F0053" w:rsidRPr="00C545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C54553" w:rsidRPr="00C54553">
        <w:rPr>
          <w:rFonts w:ascii="仿宋" w:eastAsia="仿宋" w:hAnsi="仿宋" w:hint="eastAsia"/>
          <w:sz w:val="28"/>
          <w:szCs w:val="28"/>
        </w:rPr>
        <w:t>申艳萍</w:t>
      </w:r>
      <w:r w:rsidR="00B332F6" w:rsidRPr="00B332F6">
        <w:rPr>
          <w:rFonts w:ascii="仿宋" w:eastAsia="仿宋" w:hAnsi="仿宋" w:hint="eastAsia"/>
          <w:sz w:val="28"/>
          <w:szCs w:val="28"/>
        </w:rPr>
        <w:t>、</w:t>
      </w:r>
      <w:r w:rsidR="00C54553" w:rsidRPr="00C54553">
        <w:rPr>
          <w:rFonts w:ascii="仿宋" w:eastAsia="仿宋" w:hAnsi="仿宋" w:hint="eastAsia"/>
          <w:sz w:val="28"/>
          <w:szCs w:val="28"/>
        </w:rPr>
        <w:t>于琴</w:t>
      </w:r>
      <w:r w:rsidR="00B332F6" w:rsidRPr="00B332F6">
        <w:rPr>
          <w:rFonts w:ascii="仿宋" w:eastAsia="仿宋" w:hAnsi="仿宋" w:hint="eastAsia"/>
          <w:sz w:val="28"/>
          <w:szCs w:val="28"/>
        </w:rPr>
        <w:t>、</w:t>
      </w:r>
      <w:r w:rsidR="00C54553" w:rsidRPr="00C54553">
        <w:rPr>
          <w:rFonts w:ascii="仿宋" w:eastAsia="仿宋" w:hAnsi="仿宋" w:hint="eastAsia"/>
          <w:sz w:val="28"/>
          <w:szCs w:val="28"/>
        </w:rPr>
        <w:t>刘伟</w:t>
      </w:r>
    </w:p>
    <w:p w14:paraId="681F5DD6" w14:textId="5D883CBA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2103C7" w:rsidRPr="002103C7">
        <w:rPr>
          <w:rFonts w:ascii="仿宋" w:eastAsia="仿宋" w:hAnsi="仿宋" w:hint="eastAsia"/>
          <w:sz w:val="28"/>
          <w:szCs w:val="28"/>
        </w:rPr>
        <w:t>按照国家发改委“ 计价格[2002]1980号”文规定，服务类标准80%计取，不足5000元按5000元计取</w:t>
      </w:r>
      <w:r w:rsidR="002103C7">
        <w:rPr>
          <w:rFonts w:ascii="仿宋" w:eastAsia="仿宋" w:hAnsi="仿宋" w:hint="eastAsia"/>
          <w:sz w:val="28"/>
          <w:szCs w:val="28"/>
        </w:rPr>
        <w:t>。金额：</w:t>
      </w:r>
      <w:r w:rsidR="00B332F6" w:rsidRPr="00B332F6">
        <w:rPr>
          <w:rFonts w:ascii="仿宋" w:eastAsia="仿宋" w:hAnsi="仿宋" w:hint="eastAsia"/>
          <w:sz w:val="28"/>
          <w:szCs w:val="28"/>
        </w:rPr>
        <w:t>5</w:t>
      </w:r>
      <w:r w:rsidR="002103C7">
        <w:rPr>
          <w:rFonts w:ascii="仿宋" w:eastAsia="仿宋" w:hAnsi="仿宋" w:hint="eastAsia"/>
          <w:sz w:val="28"/>
          <w:szCs w:val="28"/>
        </w:rPr>
        <w:t>000</w:t>
      </w:r>
      <w:r w:rsidR="00B332F6" w:rsidRPr="00B332F6">
        <w:rPr>
          <w:rFonts w:ascii="仿宋" w:eastAsia="仿宋" w:hAnsi="仿宋" w:hint="eastAsia"/>
          <w:sz w:val="28"/>
          <w:szCs w:val="28"/>
        </w:rPr>
        <w:t>.00元</w:t>
      </w:r>
    </w:p>
    <w:p w14:paraId="165FC6CB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735A0A5F" w14:textId="77777777" w:rsidR="007F0053" w:rsidRDefault="00000000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04CDA4B" w14:textId="77777777" w:rsidR="007F0053" w:rsidRDefault="00000000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F5F4BC7" w14:textId="380A20B1" w:rsidR="007F0053" w:rsidRPr="002103C7" w:rsidRDefault="002103C7" w:rsidP="00B332F6">
      <w:pPr>
        <w:widowControl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成交供应商（</w:t>
      </w:r>
      <w:r w:rsidRPr="002103C7">
        <w:rPr>
          <w:rFonts w:ascii="仿宋" w:eastAsia="仿宋" w:hAnsi="仿宋" w:cs="宋体" w:hint="eastAsia"/>
          <w:kern w:val="0"/>
          <w:sz w:val="28"/>
          <w:szCs w:val="28"/>
        </w:rPr>
        <w:t>北京兴华会计师事务所（特殊普通合伙）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）综合平均得分：</w:t>
      </w:r>
      <w:r w:rsidRPr="002103C7">
        <w:rPr>
          <w:rFonts w:ascii="仿宋" w:eastAsia="仿宋" w:hAnsi="仿宋" w:cs="宋体"/>
          <w:kern w:val="0"/>
          <w:sz w:val="28"/>
          <w:szCs w:val="28"/>
        </w:rPr>
        <w:t>85.37</w:t>
      </w:r>
      <w:r>
        <w:rPr>
          <w:rFonts w:ascii="仿宋" w:eastAsia="仿宋" w:hAnsi="仿宋" w:cs="宋体" w:hint="eastAsia"/>
          <w:kern w:val="0"/>
          <w:sz w:val="28"/>
          <w:szCs w:val="28"/>
        </w:rPr>
        <w:t>分。</w:t>
      </w:r>
    </w:p>
    <w:p w14:paraId="05EB1E03" w14:textId="77777777" w:rsidR="007F0053" w:rsidRDefault="00000000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7EB115D" w14:textId="77777777" w:rsidR="007F0053" w:rsidRDefault="00000000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中国劳动关系学院</w:t>
      </w:r>
    </w:p>
    <w:p w14:paraId="1F1D5808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北京市海淀区增光路45号</w:t>
      </w:r>
    </w:p>
    <w:p w14:paraId="3A2CCF69" w14:textId="71EB9884" w:rsidR="007F0053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C54553">
        <w:rPr>
          <w:rFonts w:ascii="仿宋" w:eastAsia="仿宋" w:hAnsi="仿宋" w:hint="eastAsia"/>
          <w:sz w:val="28"/>
          <w:szCs w:val="28"/>
          <w:u w:val="single"/>
        </w:rPr>
        <w:t xml:space="preserve">周老师 </w:t>
      </w:r>
      <w:r w:rsidR="00C54553">
        <w:rPr>
          <w:rFonts w:ascii="仿宋" w:eastAsia="仿宋" w:hAnsi="仿宋"/>
          <w:sz w:val="28"/>
          <w:szCs w:val="28"/>
          <w:u w:val="single"/>
        </w:rPr>
        <w:t>010-88562580</w:t>
      </w:r>
    </w:p>
    <w:p w14:paraId="641DCDA1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9CA9CC2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　址：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北京市海淀区车公庄西路乙19号华通大厦B座南塔14层</w:t>
      </w:r>
    </w:p>
    <w:p w14:paraId="53F67518" w14:textId="0CEC8F7A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30F6F150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 w14:textId="77777777" w:rsidR="00B332F6" w:rsidRDefault="00B332F6" w:rsidP="00B332F6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</w:p>
    <w:p w14:paraId="2FFAF26F" w14:textId="37B1FB39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6B399D47" w14:textId="2BCF705B" w:rsidR="007F0053" w:rsidRDefault="007F0053">
      <w:pPr>
        <w:rPr>
          <w:rFonts w:ascii="仿宋" w:eastAsia="仿宋" w:hAnsi="仿宋" w:cs="宋体" w:hint="eastAsia"/>
          <w:kern w:val="0"/>
          <w:sz w:val="28"/>
          <w:szCs w:val="28"/>
        </w:rPr>
      </w:pPr>
      <w:bookmarkStart w:id="14" w:name="_Toc28359026"/>
      <w:bookmarkEnd w:id="14"/>
    </w:p>
    <w:sectPr w:rsidR="007F00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BB23" w14:textId="77777777" w:rsidR="00DF744C" w:rsidRDefault="00DF744C">
      <w:r>
        <w:separator/>
      </w:r>
    </w:p>
  </w:endnote>
  <w:endnote w:type="continuationSeparator" w:id="0">
    <w:p w14:paraId="15DF872E" w14:textId="77777777" w:rsidR="00DF744C" w:rsidRDefault="00DF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2475" w14:textId="77777777" w:rsidR="00DF744C" w:rsidRDefault="00DF744C">
      <w:r>
        <w:separator/>
      </w:r>
    </w:p>
  </w:footnote>
  <w:footnote w:type="continuationSeparator" w:id="0">
    <w:p w14:paraId="66CE158D" w14:textId="77777777" w:rsidR="00DF744C" w:rsidRDefault="00DF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457B0"/>
    <w:rsid w:val="0005737B"/>
    <w:rsid w:val="000726D8"/>
    <w:rsid w:val="000A6769"/>
    <w:rsid w:val="000D3B95"/>
    <w:rsid w:val="000D5040"/>
    <w:rsid w:val="000D6508"/>
    <w:rsid w:val="00110BD8"/>
    <w:rsid w:val="00151C8B"/>
    <w:rsid w:val="002103C7"/>
    <w:rsid w:val="00244094"/>
    <w:rsid w:val="00246690"/>
    <w:rsid w:val="002F4172"/>
    <w:rsid w:val="00322E12"/>
    <w:rsid w:val="003D04C7"/>
    <w:rsid w:val="003F1B07"/>
    <w:rsid w:val="00430D5D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2F8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54553"/>
    <w:rsid w:val="00C61BBE"/>
    <w:rsid w:val="00C95981"/>
    <w:rsid w:val="00CE179C"/>
    <w:rsid w:val="00D26832"/>
    <w:rsid w:val="00DA7067"/>
    <w:rsid w:val="00DC09FA"/>
    <w:rsid w:val="00DC62D0"/>
    <w:rsid w:val="00DF744C"/>
    <w:rsid w:val="00E457B7"/>
    <w:rsid w:val="00E702D6"/>
    <w:rsid w:val="00E75E92"/>
    <w:rsid w:val="00E7680A"/>
    <w:rsid w:val="00ED7C2A"/>
    <w:rsid w:val="00EE3266"/>
    <w:rsid w:val="00F53A4B"/>
    <w:rsid w:val="00FD20E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 魏</cp:lastModifiedBy>
  <cp:revision>32</cp:revision>
  <cp:lastPrinted>2020-03-23T07:37:00Z</cp:lastPrinted>
  <dcterms:created xsi:type="dcterms:W3CDTF">2020-03-18T03:22:00Z</dcterms:created>
  <dcterms:modified xsi:type="dcterms:W3CDTF">2024-09-04T09:57:00Z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